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306"/>
        <w:gridCol w:w="1276"/>
        <w:gridCol w:w="1111"/>
        <w:gridCol w:w="448"/>
        <w:gridCol w:w="1395"/>
        <w:gridCol w:w="23"/>
        <w:gridCol w:w="1394"/>
        <w:gridCol w:w="142"/>
        <w:gridCol w:w="117"/>
        <w:gridCol w:w="1017"/>
        <w:gridCol w:w="992"/>
        <w:gridCol w:w="426"/>
        <w:gridCol w:w="400"/>
        <w:gridCol w:w="1017"/>
      </w:tblGrid>
      <w:tr w:rsidTr="008C2F2A">
        <w:tblPrEx>
          <w:tblW w:w="10456" w:type="dxa"/>
          <w:tblLayout w:type="fixed"/>
          <w:tblLook w:val="00A0"/>
        </w:tblPrEx>
        <w:trPr>
          <w:trHeight w:val="1095"/>
        </w:trPr>
        <w:tc>
          <w:tcPr>
            <w:tcW w:w="1974" w:type="dxa"/>
            <w:gridSpan w:val="3"/>
            <w:vAlign w:val="bottom"/>
          </w:tcPr>
          <w:p w:rsidR="000021B1" w:rsidRPr="00C21290" w:rsidP="00281C59">
            <w:pPr>
              <w:rPr>
                <w:b/>
                <w:sz w:val="16"/>
                <w:szCs w:val="16"/>
              </w:rPr>
            </w:pPr>
            <w:r w:rsidRPr="00C21290">
              <w:rPr>
                <w:b/>
                <w:sz w:val="16"/>
                <w:szCs w:val="16"/>
              </w:rPr>
              <w:t>KURULUŞ  ADI:</w:t>
            </w:r>
          </w:p>
          <w:p w:rsidR="000021B1" w:rsidRPr="00C21290" w:rsidP="00281C59">
            <w:pPr>
              <w:rPr>
                <w:b/>
                <w:sz w:val="16"/>
                <w:szCs w:val="16"/>
              </w:rPr>
            </w:pPr>
          </w:p>
          <w:p w:rsidR="000021B1" w:rsidRPr="00C21290" w:rsidP="00281C59">
            <w:pPr>
              <w:rPr>
                <w:b/>
                <w:sz w:val="16"/>
                <w:szCs w:val="16"/>
              </w:rPr>
            </w:pPr>
            <w:r w:rsidRPr="00C21290">
              <w:rPr>
                <w:b/>
                <w:sz w:val="16"/>
                <w:szCs w:val="16"/>
              </w:rPr>
              <w:t>KURULUŞ ADRESİ:</w:t>
            </w:r>
          </w:p>
          <w:p w:rsidR="000021B1" w:rsidRPr="00C21290" w:rsidP="00281C59">
            <w:pPr>
              <w:rPr>
                <w:b/>
                <w:sz w:val="16"/>
                <w:szCs w:val="16"/>
              </w:rPr>
            </w:pPr>
          </w:p>
        </w:tc>
        <w:tc>
          <w:tcPr>
            <w:tcW w:w="8482" w:type="dxa"/>
            <w:gridSpan w:val="12"/>
            <w:vAlign w:val="bottom"/>
          </w:tcPr>
          <w:p w:rsidR="000021B1" w:rsidRPr="00C21290" w:rsidP="00281C59"/>
        </w:tc>
      </w:tr>
      <w:tr w:rsidTr="00D270AC">
        <w:tblPrEx>
          <w:tblW w:w="10456" w:type="dxa"/>
          <w:tblLayout w:type="fixed"/>
          <w:tblLook w:val="00A0"/>
        </w:tblPrEx>
        <w:trPr>
          <w:cantSplit/>
          <w:trHeight w:val="394"/>
        </w:trPr>
        <w:tc>
          <w:tcPr>
            <w:tcW w:w="698" w:type="dxa"/>
            <w:gridSpan w:val="2"/>
            <w:shd w:val="clear" w:color="auto" w:fill="auto"/>
            <w:vAlign w:val="bottom"/>
          </w:tcPr>
          <w:p w:rsidR="000021B1" w:rsidRPr="00C21290" w:rsidP="00281C59">
            <w:pPr>
              <w:rPr>
                <w:b/>
                <w:bCs/>
                <w:sz w:val="14"/>
                <w:szCs w:val="14"/>
                <w:lang w:val="de-DE"/>
              </w:rPr>
            </w:pPr>
            <w:r w:rsidRPr="00C21290">
              <w:rPr>
                <w:b/>
                <w:bCs/>
                <w:sz w:val="14"/>
                <w:szCs w:val="14"/>
                <w:lang w:val="de-DE"/>
              </w:rPr>
              <w:t>Telefon</w:t>
            </w:r>
          </w:p>
          <w:p w:rsidR="000021B1" w:rsidRPr="00C21290" w:rsidP="00281C59">
            <w:pPr>
              <w:rPr>
                <w:b/>
                <w:bCs/>
                <w:sz w:val="14"/>
                <w:szCs w:val="14"/>
                <w:lang w:val="de-DE"/>
              </w:rPr>
            </w:pPr>
          </w:p>
        </w:tc>
        <w:tc>
          <w:tcPr>
            <w:tcW w:w="1276" w:type="dxa"/>
            <w:shd w:val="clear" w:color="auto" w:fill="auto"/>
            <w:vAlign w:val="center"/>
          </w:tcPr>
          <w:p w:rsidR="000021B1" w:rsidRPr="00C21290" w:rsidP="00281C59">
            <w:pPr>
              <w:rPr>
                <w:b/>
                <w:bCs/>
                <w:color w:val="333333"/>
                <w:sz w:val="16"/>
                <w:szCs w:val="16"/>
                <w:lang w:val="de-DE"/>
              </w:rPr>
            </w:pPr>
          </w:p>
        </w:tc>
        <w:tc>
          <w:tcPr>
            <w:tcW w:w="1559" w:type="dxa"/>
            <w:gridSpan w:val="2"/>
            <w:shd w:val="clear" w:color="auto" w:fill="auto"/>
            <w:vAlign w:val="center"/>
          </w:tcPr>
          <w:p w:rsidR="000021B1" w:rsidRPr="00C21290" w:rsidP="00281C59">
            <w:pPr>
              <w:rPr>
                <w:b/>
                <w:bCs/>
                <w:sz w:val="14"/>
                <w:szCs w:val="14"/>
                <w:lang w:val="de-DE"/>
              </w:rPr>
            </w:pPr>
            <w:r w:rsidRPr="00C21290">
              <w:rPr>
                <w:b/>
                <w:bCs/>
                <w:sz w:val="14"/>
                <w:szCs w:val="14"/>
                <w:lang w:val="de-DE"/>
              </w:rPr>
              <w:t>Faks</w:t>
            </w:r>
          </w:p>
        </w:tc>
        <w:tc>
          <w:tcPr>
            <w:tcW w:w="1418" w:type="dxa"/>
            <w:gridSpan w:val="2"/>
            <w:shd w:val="clear" w:color="auto" w:fill="auto"/>
            <w:vAlign w:val="center"/>
          </w:tcPr>
          <w:p w:rsidR="000021B1" w:rsidRPr="00C21290" w:rsidP="00281C59">
            <w:pPr>
              <w:rPr>
                <w:b/>
                <w:bCs/>
                <w:color w:val="333333"/>
                <w:sz w:val="16"/>
                <w:szCs w:val="16"/>
                <w:lang w:val="de-DE"/>
              </w:rPr>
            </w:pPr>
          </w:p>
        </w:tc>
        <w:tc>
          <w:tcPr>
            <w:tcW w:w="1653" w:type="dxa"/>
            <w:gridSpan w:val="3"/>
            <w:shd w:val="clear" w:color="auto" w:fill="auto"/>
            <w:vAlign w:val="center"/>
          </w:tcPr>
          <w:p w:rsidR="000021B1" w:rsidRPr="00C21290" w:rsidP="00281C59">
            <w:pPr>
              <w:rPr>
                <w:b/>
                <w:bCs/>
                <w:color w:val="333333"/>
                <w:sz w:val="14"/>
                <w:szCs w:val="14"/>
                <w:lang w:val="de-DE"/>
              </w:rPr>
            </w:pPr>
            <w:r w:rsidRPr="00C21290">
              <w:rPr>
                <w:b/>
                <w:bCs/>
                <w:color w:val="333333"/>
                <w:sz w:val="14"/>
                <w:szCs w:val="14"/>
                <w:lang w:val="de-DE"/>
              </w:rPr>
              <w:t>İnternet Adresi</w:t>
            </w:r>
          </w:p>
        </w:tc>
        <w:tc>
          <w:tcPr>
            <w:tcW w:w="2009" w:type="dxa"/>
            <w:gridSpan w:val="2"/>
            <w:shd w:val="clear" w:color="auto" w:fill="auto"/>
            <w:vAlign w:val="center"/>
          </w:tcPr>
          <w:p w:rsidR="000021B1" w:rsidRPr="00C21290" w:rsidP="00281C59">
            <w:pPr>
              <w:rPr>
                <w:b/>
                <w:bCs/>
              </w:rPr>
            </w:pPr>
            <w:r w:rsidRPr="00C21290">
              <w:rPr>
                <w:b/>
                <w:bCs/>
                <w:sz w:val="16"/>
                <w:szCs w:val="16"/>
                <w:lang w:val="en-US"/>
              </w:rPr>
              <w:t xml:space="preserve">www.                                 </w:t>
            </w:r>
          </w:p>
        </w:tc>
        <w:tc>
          <w:tcPr>
            <w:tcW w:w="826" w:type="dxa"/>
            <w:gridSpan w:val="2"/>
            <w:shd w:val="clear" w:color="auto" w:fill="auto"/>
            <w:vAlign w:val="center"/>
          </w:tcPr>
          <w:p w:rsidR="000021B1" w:rsidRPr="00C21290" w:rsidP="00281C59">
            <w:pPr>
              <w:jc w:val="center"/>
              <w:rPr>
                <w:b/>
                <w:bCs/>
              </w:rPr>
            </w:pPr>
            <w:r w:rsidRPr="00C21290">
              <w:rPr>
                <w:b/>
                <w:bCs/>
                <w:sz w:val="12"/>
                <w:szCs w:val="12"/>
                <w:lang w:val="en-US"/>
              </w:rPr>
              <w:t>Vergi No:</w:t>
            </w:r>
          </w:p>
        </w:tc>
        <w:tc>
          <w:tcPr>
            <w:tcW w:w="1017" w:type="dxa"/>
            <w:shd w:val="clear" w:color="auto" w:fill="auto"/>
            <w:vAlign w:val="bottom"/>
          </w:tcPr>
          <w:p w:rsidR="000021B1" w:rsidRPr="00C21290" w:rsidP="00281C59">
            <w:pPr>
              <w:rPr>
                <w:b/>
                <w:bCs/>
              </w:rPr>
            </w:pPr>
          </w:p>
        </w:tc>
      </w:tr>
      <w:tr w:rsidTr="00D270AC">
        <w:tblPrEx>
          <w:tblW w:w="10456" w:type="dxa"/>
          <w:tblLayout w:type="fixed"/>
          <w:tblLook w:val="00A0"/>
        </w:tblPrEx>
        <w:trPr>
          <w:cantSplit/>
          <w:trHeight w:val="413"/>
        </w:trPr>
        <w:tc>
          <w:tcPr>
            <w:tcW w:w="698" w:type="dxa"/>
            <w:gridSpan w:val="2"/>
            <w:tcBorders>
              <w:bottom w:val="single" w:sz="4" w:space="0" w:color="auto"/>
            </w:tcBorders>
            <w:shd w:val="clear" w:color="auto" w:fill="auto"/>
            <w:vAlign w:val="bottom"/>
          </w:tcPr>
          <w:p w:rsidR="000021B1" w:rsidRPr="00C21290" w:rsidP="00281C59">
            <w:pPr>
              <w:rPr>
                <w:b/>
                <w:bCs/>
                <w:sz w:val="14"/>
                <w:szCs w:val="14"/>
                <w:shd w:val="clear" w:color="auto" w:fill="FFFFFF"/>
              </w:rPr>
            </w:pPr>
          </w:p>
          <w:p w:rsidR="000021B1" w:rsidRPr="00C21290" w:rsidP="00281C59">
            <w:pPr>
              <w:rPr>
                <w:b/>
                <w:bCs/>
                <w:sz w:val="14"/>
                <w:szCs w:val="14"/>
                <w:shd w:val="clear" w:color="auto" w:fill="FFFFFF"/>
              </w:rPr>
            </w:pPr>
            <w:r w:rsidRPr="00C21290">
              <w:rPr>
                <w:b/>
                <w:bCs/>
                <w:sz w:val="14"/>
                <w:szCs w:val="14"/>
                <w:shd w:val="clear" w:color="auto" w:fill="FFFFFF"/>
              </w:rPr>
              <w:t xml:space="preserve">Cep </w:t>
            </w:r>
            <w:r w:rsidR="008C2F2A">
              <w:rPr>
                <w:b/>
                <w:bCs/>
                <w:sz w:val="14"/>
                <w:szCs w:val="14"/>
                <w:shd w:val="clear" w:color="auto" w:fill="FFFFFF"/>
                <w:lang w:val="de-DE"/>
              </w:rPr>
              <w:t>Tel</w:t>
            </w:r>
          </w:p>
          <w:p w:rsidR="000021B1" w:rsidRPr="00C21290" w:rsidP="00281C59">
            <w:pPr>
              <w:jc w:val="center"/>
              <w:rPr>
                <w:b/>
                <w:bCs/>
                <w:sz w:val="14"/>
                <w:szCs w:val="14"/>
              </w:rPr>
            </w:pPr>
          </w:p>
        </w:tc>
        <w:tc>
          <w:tcPr>
            <w:tcW w:w="1276" w:type="dxa"/>
            <w:tcBorders>
              <w:bottom w:val="single" w:sz="4" w:space="0" w:color="auto"/>
            </w:tcBorders>
            <w:shd w:val="clear" w:color="auto" w:fill="auto"/>
            <w:vAlign w:val="center"/>
          </w:tcPr>
          <w:p w:rsidR="000021B1" w:rsidRPr="00C21290" w:rsidP="00281C59">
            <w:pPr>
              <w:jc w:val="center"/>
              <w:rPr>
                <w:b/>
                <w:bCs/>
                <w:color w:val="333333"/>
                <w:sz w:val="16"/>
                <w:szCs w:val="16"/>
                <w:lang w:val="de-DE"/>
              </w:rPr>
            </w:pPr>
          </w:p>
        </w:tc>
        <w:tc>
          <w:tcPr>
            <w:tcW w:w="1559" w:type="dxa"/>
            <w:gridSpan w:val="2"/>
            <w:tcBorders>
              <w:bottom w:val="single" w:sz="4" w:space="0" w:color="auto"/>
            </w:tcBorders>
            <w:shd w:val="clear" w:color="auto" w:fill="auto"/>
            <w:vAlign w:val="center"/>
          </w:tcPr>
          <w:p w:rsidR="000021B1" w:rsidRPr="00C21290" w:rsidP="00281C59">
            <w:pPr>
              <w:rPr>
                <w:b/>
                <w:bCs/>
                <w:sz w:val="14"/>
                <w:szCs w:val="14"/>
                <w:lang w:val="de-DE"/>
              </w:rPr>
            </w:pPr>
            <w:r w:rsidRPr="00C21290">
              <w:rPr>
                <w:b/>
                <w:bCs/>
                <w:sz w:val="14"/>
                <w:szCs w:val="14"/>
                <w:lang w:val="en-US"/>
              </w:rPr>
              <w:t>İnceleme Tarihi:</w:t>
            </w:r>
          </w:p>
        </w:tc>
        <w:tc>
          <w:tcPr>
            <w:tcW w:w="1418" w:type="dxa"/>
            <w:gridSpan w:val="2"/>
            <w:tcBorders>
              <w:bottom w:val="single" w:sz="4" w:space="0" w:color="auto"/>
            </w:tcBorders>
            <w:shd w:val="clear" w:color="auto" w:fill="auto"/>
            <w:vAlign w:val="center"/>
          </w:tcPr>
          <w:p w:rsidR="000021B1" w:rsidRPr="00C21290" w:rsidP="00281C59">
            <w:pPr>
              <w:jc w:val="center"/>
              <w:rPr>
                <w:b/>
                <w:bCs/>
                <w:color w:val="333333"/>
                <w:lang w:val="de-DE"/>
              </w:rPr>
            </w:pPr>
            <w:r w:rsidRPr="00C21290">
              <w:rPr>
                <w:bCs/>
                <w:lang w:val="en-US"/>
              </w:rPr>
              <w:t>…</w:t>
            </w:r>
            <w:r w:rsidRPr="00C21290">
              <w:rPr>
                <w:b/>
                <w:bCs/>
                <w:lang w:val="en-US"/>
              </w:rPr>
              <w:t>/</w:t>
            </w:r>
            <w:r w:rsidRPr="00C21290">
              <w:rPr>
                <w:bCs/>
                <w:lang w:val="en-US"/>
              </w:rPr>
              <w:t xml:space="preserve"> … </w:t>
            </w:r>
            <w:r w:rsidRPr="00C21290">
              <w:rPr>
                <w:b/>
                <w:bCs/>
                <w:lang w:val="en-US"/>
              </w:rPr>
              <w:t>/ 20</w:t>
            </w:r>
            <w:r w:rsidRPr="00C21290">
              <w:rPr>
                <w:bCs/>
                <w:lang w:val="en-US"/>
              </w:rPr>
              <w:t>.…</w:t>
            </w:r>
          </w:p>
        </w:tc>
        <w:tc>
          <w:tcPr>
            <w:tcW w:w="1653" w:type="dxa"/>
            <w:gridSpan w:val="3"/>
            <w:tcBorders>
              <w:bottom w:val="single" w:sz="4" w:space="0" w:color="auto"/>
            </w:tcBorders>
            <w:shd w:val="clear" w:color="auto" w:fill="auto"/>
            <w:vAlign w:val="center"/>
          </w:tcPr>
          <w:p w:rsidR="000021B1" w:rsidRPr="00C21290" w:rsidP="00281C59">
            <w:pPr>
              <w:rPr>
                <w:b/>
                <w:bCs/>
                <w:sz w:val="14"/>
                <w:szCs w:val="14"/>
                <w:lang w:val="de-DE"/>
              </w:rPr>
            </w:pPr>
            <w:r w:rsidRPr="00C21290">
              <w:rPr>
                <w:b/>
                <w:bCs/>
                <w:sz w:val="14"/>
                <w:szCs w:val="14"/>
                <w:lang w:val="de-DE"/>
              </w:rPr>
              <w:t>E-Posta Adresi</w:t>
            </w:r>
          </w:p>
        </w:tc>
        <w:tc>
          <w:tcPr>
            <w:tcW w:w="3852" w:type="dxa"/>
            <w:gridSpan w:val="5"/>
            <w:tcBorders>
              <w:bottom w:val="single" w:sz="4" w:space="0" w:color="auto"/>
            </w:tcBorders>
            <w:shd w:val="clear" w:color="auto" w:fill="auto"/>
            <w:vAlign w:val="center"/>
          </w:tcPr>
          <w:p w:rsidR="000021B1" w:rsidRPr="00C21290" w:rsidP="00281C59">
            <w:pPr>
              <w:jc w:val="center"/>
              <w:rPr>
                <w:b/>
                <w:bCs/>
                <w:sz w:val="16"/>
                <w:szCs w:val="16"/>
                <w:lang w:val="de-DE"/>
              </w:rPr>
            </w:pPr>
          </w:p>
        </w:tc>
      </w:tr>
      <w:tr w:rsidTr="006D3812">
        <w:tblPrEx>
          <w:tblW w:w="10456" w:type="dxa"/>
          <w:tblLayout w:type="fixed"/>
          <w:tblLook w:val="00A0"/>
        </w:tblPrEx>
        <w:trPr>
          <w:trHeight w:val="497"/>
        </w:trPr>
        <w:tc>
          <w:tcPr>
            <w:tcW w:w="4928" w:type="dxa"/>
            <w:gridSpan w:val="6"/>
            <w:tcBorders>
              <w:bottom w:val="single" w:sz="6" w:space="0" w:color="auto"/>
            </w:tcBorders>
            <w:vAlign w:val="center"/>
          </w:tcPr>
          <w:p w:rsidR="00D270AC" w:rsidRPr="00C21290" w:rsidP="00281C59">
            <w:pPr>
              <w:rPr>
                <w:b/>
                <w:bCs/>
                <w:noProof/>
                <w:sz w:val="18"/>
                <w:szCs w:val="18"/>
                <w:lang w:val="en-US" w:eastAsia="en-US"/>
              </w:rPr>
            </w:pPr>
            <w:r>
              <w:rPr>
                <w:b/>
                <w:bCs/>
                <w:noProof/>
                <w:sz w:val="18"/>
                <w:szCs w:val="18"/>
                <w:lang w:val="en-US" w:eastAsia="en-US"/>
              </w:rPr>
              <w:t>Rapor Tarihi:</w:t>
            </w:r>
          </w:p>
        </w:tc>
        <w:tc>
          <w:tcPr>
            <w:tcW w:w="5528" w:type="dxa"/>
            <w:gridSpan w:val="9"/>
            <w:tcBorders>
              <w:bottom w:val="single" w:sz="6" w:space="0" w:color="auto"/>
            </w:tcBorders>
          </w:tcPr>
          <w:p w:rsidR="00D270AC" w:rsidP="00EE2D72">
            <w:pPr>
              <w:rPr>
                <w:b/>
                <w:bCs/>
                <w:noProof/>
                <w:sz w:val="18"/>
                <w:szCs w:val="18"/>
                <w:lang w:val="en-US" w:eastAsia="en-US"/>
              </w:rPr>
            </w:pPr>
          </w:p>
          <w:p w:rsidR="00D270AC" w:rsidP="00EE2D72">
            <w:pPr>
              <w:rPr>
                <w:b/>
                <w:bCs/>
                <w:noProof/>
                <w:sz w:val="18"/>
                <w:szCs w:val="18"/>
                <w:lang w:val="en-US" w:eastAsia="en-US"/>
              </w:rPr>
            </w:pPr>
            <w:r w:rsidRPr="004E2C1B">
              <w:rPr>
                <w:b/>
                <w:bCs/>
                <w:noProof/>
                <w:sz w:val="18"/>
                <w:szCs w:val="18"/>
                <w:lang w:val="en-US" w:eastAsia="en-US"/>
              </w:rPr>
              <w:t>Rapor Numarası:</w:t>
            </w:r>
          </w:p>
          <w:p w:rsidR="00D270AC" w:rsidRPr="00C21290" w:rsidP="00EE2D72">
            <w:pPr>
              <w:pStyle w:val="Header"/>
              <w:jc w:val="center"/>
              <w:rPr>
                <w:sz w:val="16"/>
                <w:szCs w:val="16"/>
              </w:rPr>
            </w:pPr>
          </w:p>
        </w:tc>
      </w:tr>
      <w:tr w:rsidTr="004F095D">
        <w:tblPrEx>
          <w:tblW w:w="10456" w:type="dxa"/>
          <w:tblLayout w:type="fixed"/>
          <w:tblLook w:val="0000"/>
        </w:tblPrEx>
        <w:trPr>
          <w:cantSplit/>
          <w:trHeight w:val="373"/>
        </w:trPr>
        <w:tc>
          <w:tcPr>
            <w:tcW w:w="10456" w:type="dxa"/>
            <w:gridSpan w:val="15"/>
            <w:tcBorders>
              <w:top w:val="single" w:sz="6" w:space="0" w:color="auto"/>
            </w:tcBorders>
            <w:vAlign w:val="center"/>
          </w:tcPr>
          <w:p w:rsidR="00D270AC" w:rsidRPr="00C21290" w:rsidP="008C2F2A">
            <w:pPr>
              <w:pStyle w:val="Header"/>
              <w:rPr>
                <w:sz w:val="16"/>
                <w:szCs w:val="16"/>
              </w:rPr>
            </w:pPr>
            <w:r w:rsidRPr="008C2F2A">
              <w:rPr>
                <w:b/>
                <w:sz w:val="16"/>
                <w:szCs w:val="16"/>
              </w:rPr>
              <w:t>RAPOR KAPSAMI:(Madde 6.2’ye bakınız)</w:t>
            </w:r>
          </w:p>
        </w:tc>
      </w:tr>
      <w:tr w:rsidTr="008C2F2A">
        <w:tblPrEx>
          <w:tblW w:w="10456" w:type="dxa"/>
          <w:tblLayout w:type="fixed"/>
          <w:tblLook w:val="0000"/>
        </w:tblPrEx>
        <w:trPr>
          <w:cantSplit/>
          <w:trHeight w:val="373"/>
        </w:trPr>
        <w:tc>
          <w:tcPr>
            <w:tcW w:w="392" w:type="dxa"/>
            <w:tcBorders>
              <w:top w:val="single" w:sz="6" w:space="0" w:color="auto"/>
              <w:right w:val="single" w:sz="6" w:space="0" w:color="auto"/>
            </w:tcBorders>
          </w:tcPr>
          <w:p w:rsidR="00D270AC" w:rsidRPr="00C21290" w:rsidP="00281C59">
            <w:pPr>
              <w:pStyle w:val="Header"/>
              <w:jc w:val="center"/>
              <w:rPr>
                <w:sz w:val="16"/>
                <w:szCs w:val="16"/>
              </w:rPr>
            </w:pPr>
          </w:p>
        </w:tc>
        <w:tc>
          <w:tcPr>
            <w:tcW w:w="10064" w:type="dxa"/>
            <w:gridSpan w:val="14"/>
            <w:tcBorders>
              <w:top w:val="single" w:sz="6" w:space="0" w:color="auto"/>
              <w:left w:val="single" w:sz="6" w:space="0" w:color="auto"/>
            </w:tcBorders>
            <w:vAlign w:val="center"/>
          </w:tcPr>
          <w:p w:rsidR="00D270AC" w:rsidRPr="00F918C8" w:rsidP="004E2C1B">
            <w:pPr>
              <w:pStyle w:val="Header"/>
              <w:rPr>
                <w:b/>
                <w:sz w:val="18"/>
                <w:szCs w:val="18"/>
              </w:rPr>
            </w:pPr>
            <w:r w:rsidRPr="00F918C8">
              <w:rPr>
                <w:b/>
                <w:sz w:val="18"/>
                <w:szCs w:val="18"/>
              </w:rPr>
              <w:t>Otomatik kütle belirleme terazileri</w:t>
            </w:r>
          </w:p>
        </w:tc>
      </w:tr>
      <w:tr w:rsidTr="008C2F2A">
        <w:tblPrEx>
          <w:tblW w:w="10456" w:type="dxa"/>
          <w:tblLayout w:type="fixed"/>
          <w:tblLook w:val="0000"/>
        </w:tblPrEx>
        <w:trPr>
          <w:cantSplit/>
          <w:trHeight w:val="373"/>
        </w:trPr>
        <w:tc>
          <w:tcPr>
            <w:tcW w:w="392" w:type="dxa"/>
            <w:tcBorders>
              <w:top w:val="single" w:sz="6" w:space="0" w:color="auto"/>
              <w:right w:val="single" w:sz="6" w:space="0" w:color="auto"/>
            </w:tcBorders>
          </w:tcPr>
          <w:p w:rsidR="00D270AC" w:rsidRPr="00C21290" w:rsidP="00281C59">
            <w:pPr>
              <w:pStyle w:val="Header"/>
              <w:jc w:val="center"/>
              <w:rPr>
                <w:sz w:val="16"/>
                <w:szCs w:val="16"/>
              </w:rPr>
            </w:pPr>
          </w:p>
        </w:tc>
        <w:tc>
          <w:tcPr>
            <w:tcW w:w="10064" w:type="dxa"/>
            <w:gridSpan w:val="14"/>
            <w:tcBorders>
              <w:top w:val="single" w:sz="6" w:space="0" w:color="auto"/>
              <w:left w:val="single" w:sz="6" w:space="0" w:color="auto"/>
            </w:tcBorders>
            <w:vAlign w:val="center"/>
          </w:tcPr>
          <w:p w:rsidR="00D270AC" w:rsidRPr="00784ABE" w:rsidP="004E2C1B">
            <w:pPr>
              <w:pStyle w:val="Header"/>
              <w:rPr>
                <w:b/>
                <w:sz w:val="18"/>
                <w:szCs w:val="18"/>
              </w:rPr>
            </w:pPr>
            <w:r w:rsidRPr="00784ABE">
              <w:rPr>
                <w:b/>
                <w:sz w:val="18"/>
                <w:szCs w:val="18"/>
              </w:rPr>
              <w:t>Otomatik  gravimetrik dolum terazileri</w:t>
            </w:r>
          </w:p>
        </w:tc>
      </w:tr>
      <w:tr w:rsidTr="008C2F2A">
        <w:tblPrEx>
          <w:tblW w:w="10456" w:type="dxa"/>
          <w:tblLayout w:type="fixed"/>
          <w:tblLook w:val="0000"/>
        </w:tblPrEx>
        <w:trPr>
          <w:cantSplit/>
          <w:trHeight w:val="373"/>
        </w:trPr>
        <w:tc>
          <w:tcPr>
            <w:tcW w:w="392" w:type="dxa"/>
            <w:tcBorders>
              <w:top w:val="single" w:sz="6" w:space="0" w:color="auto"/>
              <w:right w:val="single" w:sz="6" w:space="0" w:color="auto"/>
            </w:tcBorders>
          </w:tcPr>
          <w:p w:rsidR="00D270AC" w:rsidRPr="00C21290" w:rsidP="00281C59">
            <w:pPr>
              <w:pStyle w:val="Header"/>
              <w:jc w:val="center"/>
              <w:rPr>
                <w:sz w:val="16"/>
                <w:szCs w:val="16"/>
              </w:rPr>
            </w:pPr>
          </w:p>
        </w:tc>
        <w:tc>
          <w:tcPr>
            <w:tcW w:w="10064" w:type="dxa"/>
            <w:gridSpan w:val="14"/>
            <w:tcBorders>
              <w:top w:val="single" w:sz="6" w:space="0" w:color="auto"/>
              <w:left w:val="single" w:sz="6" w:space="0" w:color="auto"/>
            </w:tcBorders>
            <w:vAlign w:val="center"/>
          </w:tcPr>
          <w:p w:rsidR="00D270AC" w:rsidRPr="0047416C" w:rsidP="004E2C1B">
            <w:pPr>
              <w:pStyle w:val="Header"/>
              <w:rPr>
                <w:b/>
                <w:sz w:val="18"/>
                <w:szCs w:val="18"/>
              </w:rPr>
            </w:pPr>
            <w:r w:rsidRPr="0047416C">
              <w:rPr>
                <w:b/>
                <w:sz w:val="18"/>
                <w:szCs w:val="18"/>
              </w:rPr>
              <w:t>Ray kantarları (Demiryolu ağırlık köprüsü)</w:t>
            </w:r>
          </w:p>
        </w:tc>
      </w:tr>
      <w:tr w:rsidTr="008C2F2A">
        <w:tblPrEx>
          <w:tblW w:w="10456" w:type="dxa"/>
          <w:tblLayout w:type="fixed"/>
          <w:tblLook w:val="0000"/>
        </w:tblPrEx>
        <w:trPr>
          <w:cantSplit/>
          <w:trHeight w:val="373"/>
        </w:trPr>
        <w:tc>
          <w:tcPr>
            <w:tcW w:w="392" w:type="dxa"/>
            <w:tcBorders>
              <w:top w:val="single" w:sz="6" w:space="0" w:color="auto"/>
              <w:right w:val="single" w:sz="6" w:space="0" w:color="auto"/>
            </w:tcBorders>
          </w:tcPr>
          <w:p w:rsidR="00D270AC" w:rsidRPr="00C21290" w:rsidP="00281C59">
            <w:pPr>
              <w:pStyle w:val="Header"/>
              <w:jc w:val="center"/>
              <w:rPr>
                <w:sz w:val="16"/>
                <w:szCs w:val="16"/>
              </w:rPr>
            </w:pPr>
          </w:p>
        </w:tc>
        <w:tc>
          <w:tcPr>
            <w:tcW w:w="10064" w:type="dxa"/>
            <w:gridSpan w:val="14"/>
            <w:tcBorders>
              <w:top w:val="single" w:sz="6" w:space="0" w:color="auto"/>
              <w:left w:val="single" w:sz="6" w:space="0" w:color="auto"/>
            </w:tcBorders>
            <w:vAlign w:val="center"/>
          </w:tcPr>
          <w:p w:rsidR="00D270AC" w:rsidRPr="0047416C" w:rsidP="004E2C1B">
            <w:pPr>
              <w:pStyle w:val="Header"/>
              <w:rPr>
                <w:b/>
                <w:sz w:val="18"/>
                <w:szCs w:val="18"/>
              </w:rPr>
            </w:pPr>
            <w:r w:rsidRPr="0047416C">
              <w:rPr>
                <w:b/>
                <w:sz w:val="18"/>
                <w:szCs w:val="18"/>
              </w:rPr>
              <w:t>Sürekli toplayıcılar</w:t>
            </w:r>
          </w:p>
        </w:tc>
      </w:tr>
      <w:tr w:rsidTr="008C2F2A">
        <w:tblPrEx>
          <w:tblW w:w="10456" w:type="dxa"/>
          <w:tblLayout w:type="fixed"/>
          <w:tblLook w:val="0000"/>
        </w:tblPrEx>
        <w:trPr>
          <w:cantSplit/>
          <w:trHeight w:val="373"/>
        </w:trPr>
        <w:tc>
          <w:tcPr>
            <w:tcW w:w="392" w:type="dxa"/>
            <w:tcBorders>
              <w:top w:val="single" w:sz="6" w:space="0" w:color="auto"/>
              <w:right w:val="single" w:sz="6" w:space="0" w:color="auto"/>
            </w:tcBorders>
          </w:tcPr>
          <w:p w:rsidR="00D270AC" w:rsidRPr="00C21290" w:rsidP="00281C59">
            <w:pPr>
              <w:pStyle w:val="Header"/>
              <w:jc w:val="center"/>
              <w:rPr>
                <w:sz w:val="16"/>
                <w:szCs w:val="16"/>
              </w:rPr>
            </w:pPr>
          </w:p>
        </w:tc>
        <w:tc>
          <w:tcPr>
            <w:tcW w:w="10064" w:type="dxa"/>
            <w:gridSpan w:val="14"/>
            <w:tcBorders>
              <w:top w:val="single" w:sz="6" w:space="0" w:color="auto"/>
              <w:left w:val="single" w:sz="6" w:space="0" w:color="auto"/>
            </w:tcBorders>
            <w:vAlign w:val="center"/>
          </w:tcPr>
          <w:p w:rsidR="00D270AC" w:rsidRPr="0047416C" w:rsidP="004E2C1B">
            <w:pPr>
              <w:pStyle w:val="Header"/>
              <w:rPr>
                <w:b/>
                <w:sz w:val="18"/>
                <w:szCs w:val="18"/>
              </w:rPr>
            </w:pPr>
            <w:r w:rsidRPr="0047416C">
              <w:rPr>
                <w:b/>
                <w:sz w:val="18"/>
                <w:szCs w:val="18"/>
              </w:rPr>
              <w:t>Kesintili toplayıcılar</w:t>
            </w:r>
          </w:p>
        </w:tc>
      </w:tr>
      <w:tr w:rsidTr="008C2F2A">
        <w:tblPrEx>
          <w:tblW w:w="10456" w:type="dxa"/>
          <w:tblLayout w:type="fixed"/>
          <w:tblLook w:val="0000"/>
        </w:tblPrEx>
        <w:trPr>
          <w:cantSplit/>
          <w:trHeight w:val="373"/>
        </w:trPr>
        <w:tc>
          <w:tcPr>
            <w:tcW w:w="392" w:type="dxa"/>
            <w:tcBorders>
              <w:top w:val="single" w:sz="6" w:space="0" w:color="auto"/>
              <w:right w:val="single" w:sz="6" w:space="0" w:color="auto"/>
            </w:tcBorders>
          </w:tcPr>
          <w:p w:rsidR="00D270AC" w:rsidRPr="00C21290" w:rsidP="00281C59">
            <w:pPr>
              <w:pStyle w:val="Header"/>
              <w:jc w:val="center"/>
              <w:rPr>
                <w:sz w:val="16"/>
                <w:szCs w:val="16"/>
              </w:rPr>
            </w:pPr>
          </w:p>
        </w:tc>
        <w:tc>
          <w:tcPr>
            <w:tcW w:w="10064" w:type="dxa"/>
            <w:gridSpan w:val="14"/>
            <w:tcBorders>
              <w:top w:val="single" w:sz="6" w:space="0" w:color="auto"/>
              <w:left w:val="single" w:sz="6" w:space="0" w:color="auto"/>
            </w:tcBorders>
            <w:vAlign w:val="center"/>
          </w:tcPr>
          <w:p w:rsidR="00D270AC" w:rsidRPr="0047416C" w:rsidP="004E2C1B">
            <w:pPr>
              <w:pStyle w:val="Header"/>
              <w:rPr>
                <w:b/>
                <w:sz w:val="18"/>
                <w:szCs w:val="18"/>
              </w:rPr>
            </w:pPr>
            <w:r w:rsidRPr="0047416C">
              <w:rPr>
                <w:b/>
                <w:sz w:val="18"/>
                <w:szCs w:val="18"/>
              </w:rPr>
              <w:t>Tartım kapasitesi 2000 kg’a kadar (2000 kg dahil) okuma, çıktı verebilme veya başka elektronik cihazlarla bağımlı çalışabilme özelliğine sahip III ve IV üncü sınıf otomatik elektronik tartı aletleri</w:t>
            </w:r>
          </w:p>
        </w:tc>
      </w:tr>
      <w:tr w:rsidTr="008C2F2A">
        <w:tblPrEx>
          <w:tblW w:w="10456" w:type="dxa"/>
          <w:tblLayout w:type="fixed"/>
          <w:tblLook w:val="0000"/>
        </w:tblPrEx>
        <w:trPr>
          <w:cantSplit/>
          <w:trHeight w:val="373"/>
        </w:trPr>
        <w:tc>
          <w:tcPr>
            <w:tcW w:w="392" w:type="dxa"/>
            <w:tcBorders>
              <w:top w:val="single" w:sz="6" w:space="0" w:color="auto"/>
              <w:right w:val="single" w:sz="6" w:space="0" w:color="auto"/>
            </w:tcBorders>
          </w:tcPr>
          <w:p w:rsidR="00D270AC" w:rsidRPr="00C21290" w:rsidP="00281C59">
            <w:pPr>
              <w:pStyle w:val="Header"/>
              <w:jc w:val="center"/>
              <w:rPr>
                <w:sz w:val="16"/>
                <w:szCs w:val="16"/>
              </w:rPr>
            </w:pPr>
          </w:p>
        </w:tc>
        <w:tc>
          <w:tcPr>
            <w:tcW w:w="10064" w:type="dxa"/>
            <w:gridSpan w:val="14"/>
            <w:tcBorders>
              <w:top w:val="single" w:sz="6" w:space="0" w:color="auto"/>
              <w:left w:val="single" w:sz="6" w:space="0" w:color="auto"/>
            </w:tcBorders>
            <w:vAlign w:val="center"/>
          </w:tcPr>
          <w:p w:rsidR="00D270AC" w:rsidRPr="0047416C" w:rsidP="004E2C1B">
            <w:pPr>
              <w:pStyle w:val="Header"/>
              <w:rPr>
                <w:b/>
                <w:sz w:val="18"/>
                <w:szCs w:val="18"/>
              </w:rPr>
            </w:pPr>
            <w:r w:rsidRPr="0047416C">
              <w:rPr>
                <w:b/>
                <w:sz w:val="18"/>
                <w:szCs w:val="18"/>
              </w:rPr>
              <w:t>I ve II nci sınıf otomatik olmayan tartı aletleri</w:t>
            </w:r>
          </w:p>
        </w:tc>
      </w:tr>
      <w:tr w:rsidTr="008C2F2A">
        <w:tblPrEx>
          <w:tblW w:w="10456" w:type="dxa"/>
          <w:tblLayout w:type="fixed"/>
          <w:tblLook w:val="0000"/>
        </w:tblPrEx>
        <w:trPr>
          <w:cantSplit/>
          <w:trHeight w:val="373"/>
        </w:trPr>
        <w:tc>
          <w:tcPr>
            <w:tcW w:w="10456" w:type="dxa"/>
            <w:gridSpan w:val="15"/>
            <w:tcBorders>
              <w:top w:val="single" w:sz="6" w:space="0" w:color="auto"/>
            </w:tcBorders>
            <w:vAlign w:val="center"/>
          </w:tcPr>
          <w:p w:rsidR="00D270AC" w:rsidRPr="002B16CA" w:rsidP="002B16CA">
            <w:pPr>
              <w:pStyle w:val="Header"/>
              <w:jc w:val="center"/>
              <w:rPr>
                <w:b/>
                <w:sz w:val="16"/>
                <w:szCs w:val="16"/>
              </w:rPr>
            </w:pPr>
            <w:r w:rsidRPr="002B16CA">
              <w:rPr>
                <w:b/>
                <w:sz w:val="16"/>
                <w:szCs w:val="16"/>
              </w:rPr>
              <w:t>NOT:Kapsam dahilinde olan tartı aletleri “X” ile belirtilmiştir.</w:t>
            </w:r>
          </w:p>
        </w:tc>
      </w:tr>
      <w:tr w:rsidTr="00D270AC">
        <w:tblPrEx>
          <w:tblW w:w="10456" w:type="dxa"/>
          <w:tblLayout w:type="fixed"/>
          <w:tblLook w:val="0000"/>
        </w:tblPrEx>
        <w:trPr>
          <w:cantSplit/>
          <w:trHeight w:val="373"/>
        </w:trPr>
        <w:tc>
          <w:tcPr>
            <w:tcW w:w="6345" w:type="dxa"/>
            <w:gridSpan w:val="8"/>
            <w:tcBorders>
              <w:top w:val="single" w:sz="6" w:space="0" w:color="auto"/>
            </w:tcBorders>
            <w:vAlign w:val="center"/>
          </w:tcPr>
          <w:p w:rsidR="00D270AC" w:rsidRPr="002B16CA" w:rsidP="002B16CA">
            <w:pPr>
              <w:pStyle w:val="Header"/>
              <w:jc w:val="center"/>
              <w:rPr>
                <w:b/>
                <w:sz w:val="16"/>
                <w:szCs w:val="16"/>
              </w:rPr>
            </w:pPr>
            <w:r w:rsidRPr="00C21290">
              <w:rPr>
                <w:b/>
                <w:sz w:val="18"/>
                <w:szCs w:val="18"/>
              </w:rPr>
              <w:t>TS-EN-ISO/IEC 17020 ŞARTLARI</w:t>
            </w:r>
          </w:p>
        </w:tc>
        <w:tc>
          <w:tcPr>
            <w:tcW w:w="1276" w:type="dxa"/>
            <w:gridSpan w:val="3"/>
            <w:tcBorders>
              <w:top w:val="single" w:sz="6" w:space="0" w:color="auto"/>
            </w:tcBorders>
            <w:vAlign w:val="center"/>
          </w:tcPr>
          <w:p w:rsidR="00D270AC" w:rsidRPr="002B16CA" w:rsidP="002B16CA">
            <w:pPr>
              <w:pStyle w:val="Header"/>
              <w:jc w:val="center"/>
              <w:rPr>
                <w:b/>
                <w:sz w:val="16"/>
                <w:szCs w:val="16"/>
              </w:rPr>
            </w:pPr>
            <w:r w:rsidRPr="00C21290">
              <w:rPr>
                <w:b/>
                <w:sz w:val="18"/>
                <w:szCs w:val="18"/>
              </w:rPr>
              <w:t>MADDE NO</w:t>
            </w:r>
          </w:p>
        </w:tc>
        <w:tc>
          <w:tcPr>
            <w:tcW w:w="1418" w:type="dxa"/>
            <w:gridSpan w:val="2"/>
            <w:tcBorders>
              <w:top w:val="single" w:sz="6" w:space="0" w:color="auto"/>
            </w:tcBorders>
            <w:vAlign w:val="center"/>
          </w:tcPr>
          <w:p w:rsidR="00D270AC" w:rsidRPr="00C21290" w:rsidP="00E82BCF">
            <w:pPr>
              <w:jc w:val="center"/>
              <w:rPr>
                <w:b/>
                <w:sz w:val="18"/>
                <w:szCs w:val="18"/>
              </w:rPr>
            </w:pPr>
            <w:r w:rsidRPr="00C21290">
              <w:rPr>
                <w:b/>
                <w:sz w:val="18"/>
                <w:szCs w:val="18"/>
              </w:rPr>
              <w:t>OLUMLU</w:t>
            </w:r>
          </w:p>
        </w:tc>
        <w:tc>
          <w:tcPr>
            <w:tcW w:w="1417" w:type="dxa"/>
            <w:gridSpan w:val="2"/>
            <w:tcBorders>
              <w:top w:val="single" w:sz="6" w:space="0" w:color="auto"/>
            </w:tcBorders>
            <w:vAlign w:val="center"/>
          </w:tcPr>
          <w:p w:rsidR="00D270AC" w:rsidRPr="00C21290" w:rsidP="00D9078E">
            <w:pPr>
              <w:rPr>
                <w:b/>
                <w:sz w:val="18"/>
                <w:szCs w:val="18"/>
              </w:rPr>
            </w:pPr>
          </w:p>
          <w:p w:rsidR="00D270AC" w:rsidRPr="00C21290" w:rsidP="00D9078E">
            <w:pPr>
              <w:jc w:val="center"/>
              <w:rPr>
                <w:b/>
                <w:sz w:val="18"/>
                <w:szCs w:val="18"/>
              </w:rPr>
            </w:pPr>
            <w:r w:rsidRPr="00C21290">
              <w:rPr>
                <w:b/>
                <w:sz w:val="18"/>
                <w:szCs w:val="18"/>
              </w:rPr>
              <w:t>OLUMSUZ</w:t>
            </w:r>
          </w:p>
          <w:p w:rsidR="00D270AC" w:rsidRPr="00C21290" w:rsidP="00D9078E">
            <w:pPr>
              <w:rPr>
                <w:b/>
                <w:sz w:val="18"/>
                <w:szCs w:val="18"/>
              </w:rPr>
            </w:pPr>
          </w:p>
        </w:tc>
      </w:tr>
      <w:tr w:rsidTr="00D270AC">
        <w:tblPrEx>
          <w:tblW w:w="10456" w:type="dxa"/>
          <w:tblLayout w:type="fixed"/>
          <w:tblLook w:val="0000"/>
        </w:tblPrEx>
        <w:trPr>
          <w:cantSplit/>
          <w:trHeight w:val="373"/>
        </w:trPr>
        <w:tc>
          <w:tcPr>
            <w:tcW w:w="6345" w:type="dxa"/>
            <w:gridSpan w:val="8"/>
            <w:tcBorders>
              <w:top w:val="single" w:sz="6" w:space="0" w:color="auto"/>
            </w:tcBorders>
            <w:vAlign w:val="center"/>
          </w:tcPr>
          <w:p w:rsidR="00D270AC" w:rsidRPr="00D270AC" w:rsidP="0075365F">
            <w:pPr>
              <w:rPr>
                <w:rStyle w:val="Strong"/>
                <w:sz w:val="16"/>
                <w:szCs w:val="16"/>
              </w:rPr>
            </w:pPr>
            <w:r w:rsidRPr="00D270AC">
              <w:rPr>
                <w:rStyle w:val="Strong"/>
                <w:sz w:val="16"/>
                <w:szCs w:val="16"/>
              </w:rPr>
              <w:t>PERSONEL</w:t>
            </w:r>
          </w:p>
        </w:tc>
        <w:tc>
          <w:tcPr>
            <w:tcW w:w="1276" w:type="dxa"/>
            <w:gridSpan w:val="3"/>
            <w:tcBorders>
              <w:top w:val="single" w:sz="6" w:space="0" w:color="auto"/>
            </w:tcBorders>
            <w:vAlign w:val="center"/>
          </w:tcPr>
          <w:p w:rsidR="00D270AC" w:rsidRPr="00D270AC" w:rsidP="002B16CA">
            <w:pPr>
              <w:pStyle w:val="Header"/>
              <w:jc w:val="center"/>
              <w:rPr>
                <w:b/>
                <w:sz w:val="16"/>
                <w:szCs w:val="16"/>
              </w:rPr>
            </w:pPr>
            <w:r w:rsidRPr="00D270AC">
              <w:rPr>
                <w:b/>
                <w:sz w:val="16"/>
                <w:szCs w:val="16"/>
              </w:rPr>
              <w:t>6.1</w:t>
            </w:r>
          </w:p>
        </w:tc>
        <w:tc>
          <w:tcPr>
            <w:tcW w:w="1418" w:type="dxa"/>
            <w:gridSpan w:val="2"/>
            <w:tcBorders>
              <w:top w:val="single" w:sz="6" w:space="0" w:color="auto"/>
            </w:tcBorders>
            <w:vAlign w:val="center"/>
          </w:tcPr>
          <w:p w:rsidR="00D270AC" w:rsidRPr="00D270AC" w:rsidP="002B16CA">
            <w:pPr>
              <w:pStyle w:val="Header"/>
              <w:jc w:val="center"/>
              <w:rPr>
                <w:b/>
                <w:sz w:val="16"/>
                <w:szCs w:val="16"/>
              </w:rPr>
            </w:pPr>
          </w:p>
        </w:tc>
        <w:tc>
          <w:tcPr>
            <w:tcW w:w="1417" w:type="dxa"/>
            <w:gridSpan w:val="2"/>
            <w:tcBorders>
              <w:top w:val="single" w:sz="6" w:space="0" w:color="auto"/>
            </w:tcBorders>
            <w:vAlign w:val="center"/>
          </w:tcPr>
          <w:p w:rsidR="00D270AC" w:rsidRPr="00D270AC" w:rsidP="002B16CA">
            <w:pPr>
              <w:pStyle w:val="Header"/>
              <w:jc w:val="center"/>
              <w:rPr>
                <w:b/>
                <w:sz w:val="16"/>
                <w:szCs w:val="16"/>
              </w:rPr>
            </w:pPr>
          </w:p>
        </w:tc>
      </w:tr>
      <w:tr w:rsidTr="00D270AC">
        <w:tblPrEx>
          <w:tblW w:w="10456" w:type="dxa"/>
          <w:tblLayout w:type="fixed"/>
          <w:tblLook w:val="0000"/>
        </w:tblPrEx>
        <w:trPr>
          <w:cantSplit/>
          <w:trHeight w:val="373"/>
        </w:trPr>
        <w:tc>
          <w:tcPr>
            <w:tcW w:w="6345" w:type="dxa"/>
            <w:gridSpan w:val="8"/>
            <w:tcBorders>
              <w:top w:val="single" w:sz="6" w:space="0" w:color="auto"/>
            </w:tcBorders>
            <w:vAlign w:val="center"/>
          </w:tcPr>
          <w:p w:rsidR="00D270AC" w:rsidRPr="00D270AC" w:rsidP="00C56ED7">
            <w:pPr>
              <w:rPr>
                <w:rStyle w:val="Strong"/>
                <w:sz w:val="16"/>
                <w:szCs w:val="16"/>
              </w:rPr>
            </w:pPr>
            <w:r w:rsidRPr="00D270AC">
              <w:rPr>
                <w:rStyle w:val="Strong"/>
                <w:sz w:val="16"/>
                <w:szCs w:val="16"/>
              </w:rPr>
              <w:t>TESİSLER VE DONANIM</w:t>
            </w:r>
          </w:p>
        </w:tc>
        <w:tc>
          <w:tcPr>
            <w:tcW w:w="1276" w:type="dxa"/>
            <w:gridSpan w:val="3"/>
            <w:tcBorders>
              <w:top w:val="single" w:sz="6" w:space="0" w:color="auto"/>
            </w:tcBorders>
            <w:vAlign w:val="center"/>
          </w:tcPr>
          <w:p w:rsidR="00D270AC" w:rsidRPr="00D270AC" w:rsidP="002B16CA">
            <w:pPr>
              <w:pStyle w:val="Header"/>
              <w:jc w:val="center"/>
              <w:rPr>
                <w:b/>
                <w:sz w:val="16"/>
                <w:szCs w:val="16"/>
              </w:rPr>
            </w:pPr>
            <w:r w:rsidRPr="00D270AC">
              <w:rPr>
                <w:b/>
                <w:sz w:val="16"/>
                <w:szCs w:val="16"/>
              </w:rPr>
              <w:t>6.2</w:t>
            </w:r>
          </w:p>
        </w:tc>
        <w:tc>
          <w:tcPr>
            <w:tcW w:w="1418" w:type="dxa"/>
            <w:gridSpan w:val="2"/>
            <w:tcBorders>
              <w:top w:val="single" w:sz="6" w:space="0" w:color="auto"/>
            </w:tcBorders>
            <w:vAlign w:val="center"/>
          </w:tcPr>
          <w:p w:rsidR="00D270AC" w:rsidRPr="00D270AC" w:rsidP="002B16CA">
            <w:pPr>
              <w:pStyle w:val="Header"/>
              <w:jc w:val="center"/>
              <w:rPr>
                <w:b/>
                <w:sz w:val="16"/>
                <w:szCs w:val="16"/>
              </w:rPr>
            </w:pPr>
          </w:p>
        </w:tc>
        <w:tc>
          <w:tcPr>
            <w:tcW w:w="1417" w:type="dxa"/>
            <w:gridSpan w:val="2"/>
            <w:tcBorders>
              <w:top w:val="single" w:sz="6" w:space="0" w:color="auto"/>
            </w:tcBorders>
            <w:vAlign w:val="center"/>
          </w:tcPr>
          <w:p w:rsidR="00D270AC" w:rsidRPr="00D270AC" w:rsidP="002B16CA">
            <w:pPr>
              <w:pStyle w:val="Header"/>
              <w:jc w:val="center"/>
              <w:rPr>
                <w:b/>
                <w:sz w:val="16"/>
                <w:szCs w:val="16"/>
              </w:rPr>
            </w:pPr>
          </w:p>
        </w:tc>
      </w:tr>
      <w:tr w:rsidTr="00D270AC">
        <w:tblPrEx>
          <w:tblW w:w="10456" w:type="dxa"/>
          <w:tblLayout w:type="fixed"/>
          <w:tblLook w:val="0000"/>
        </w:tblPrEx>
        <w:trPr>
          <w:cantSplit/>
          <w:trHeight w:val="373"/>
        </w:trPr>
        <w:tc>
          <w:tcPr>
            <w:tcW w:w="6345" w:type="dxa"/>
            <w:gridSpan w:val="8"/>
            <w:tcBorders>
              <w:top w:val="single" w:sz="6" w:space="0" w:color="auto"/>
            </w:tcBorders>
            <w:vAlign w:val="center"/>
          </w:tcPr>
          <w:p w:rsidR="00D270AC" w:rsidRPr="00D270AC" w:rsidP="002C5B2A">
            <w:pPr>
              <w:rPr>
                <w:rStyle w:val="Strong"/>
                <w:sz w:val="16"/>
                <w:szCs w:val="16"/>
              </w:rPr>
            </w:pPr>
            <w:r w:rsidRPr="00D270AC">
              <w:rPr>
                <w:rStyle w:val="Strong"/>
                <w:sz w:val="16"/>
                <w:szCs w:val="16"/>
              </w:rPr>
              <w:t>MUAYENE YÖNTEMLERİ VE PROSEDÜRLER</w:t>
            </w:r>
          </w:p>
        </w:tc>
        <w:tc>
          <w:tcPr>
            <w:tcW w:w="1276" w:type="dxa"/>
            <w:gridSpan w:val="3"/>
            <w:tcBorders>
              <w:top w:val="single" w:sz="6" w:space="0" w:color="auto"/>
            </w:tcBorders>
            <w:vAlign w:val="center"/>
          </w:tcPr>
          <w:p w:rsidR="00D270AC" w:rsidRPr="00D270AC" w:rsidP="002B16CA">
            <w:pPr>
              <w:pStyle w:val="Header"/>
              <w:jc w:val="center"/>
              <w:rPr>
                <w:b/>
                <w:sz w:val="16"/>
                <w:szCs w:val="16"/>
              </w:rPr>
            </w:pPr>
            <w:r w:rsidRPr="00D270AC">
              <w:rPr>
                <w:b/>
                <w:sz w:val="16"/>
                <w:szCs w:val="16"/>
              </w:rPr>
              <w:t>7.1</w:t>
            </w:r>
          </w:p>
        </w:tc>
        <w:tc>
          <w:tcPr>
            <w:tcW w:w="1418" w:type="dxa"/>
            <w:gridSpan w:val="2"/>
            <w:tcBorders>
              <w:top w:val="single" w:sz="6" w:space="0" w:color="auto"/>
            </w:tcBorders>
            <w:vAlign w:val="center"/>
          </w:tcPr>
          <w:p w:rsidR="00D270AC" w:rsidRPr="00D270AC" w:rsidP="002B16CA">
            <w:pPr>
              <w:pStyle w:val="Header"/>
              <w:jc w:val="center"/>
              <w:rPr>
                <w:b/>
                <w:sz w:val="16"/>
                <w:szCs w:val="16"/>
              </w:rPr>
            </w:pPr>
          </w:p>
        </w:tc>
        <w:tc>
          <w:tcPr>
            <w:tcW w:w="1417" w:type="dxa"/>
            <w:gridSpan w:val="2"/>
            <w:tcBorders>
              <w:top w:val="single" w:sz="6" w:space="0" w:color="auto"/>
            </w:tcBorders>
            <w:vAlign w:val="center"/>
          </w:tcPr>
          <w:p w:rsidR="00D270AC" w:rsidRPr="00D270AC" w:rsidP="002B16CA">
            <w:pPr>
              <w:pStyle w:val="Header"/>
              <w:jc w:val="center"/>
              <w:rPr>
                <w:b/>
                <w:sz w:val="16"/>
                <w:szCs w:val="16"/>
              </w:rPr>
            </w:pPr>
          </w:p>
        </w:tc>
      </w:tr>
      <w:tr w:rsidTr="00D270AC">
        <w:tblPrEx>
          <w:tblW w:w="10456" w:type="dxa"/>
          <w:tblLayout w:type="fixed"/>
          <w:tblLook w:val="0000"/>
        </w:tblPrEx>
        <w:trPr>
          <w:cantSplit/>
          <w:trHeight w:val="373"/>
        </w:trPr>
        <w:tc>
          <w:tcPr>
            <w:tcW w:w="6345" w:type="dxa"/>
            <w:gridSpan w:val="8"/>
            <w:tcBorders>
              <w:top w:val="single" w:sz="6" w:space="0" w:color="auto"/>
            </w:tcBorders>
            <w:vAlign w:val="center"/>
          </w:tcPr>
          <w:p w:rsidR="00D270AC" w:rsidRPr="00D270AC" w:rsidP="00CF7210">
            <w:pPr>
              <w:rPr>
                <w:rStyle w:val="Strong"/>
                <w:sz w:val="16"/>
                <w:szCs w:val="16"/>
              </w:rPr>
            </w:pPr>
            <w:r w:rsidRPr="00D270AC">
              <w:rPr>
                <w:rStyle w:val="Strong"/>
                <w:sz w:val="16"/>
                <w:szCs w:val="16"/>
              </w:rPr>
              <w:t>MUAYENE ÖĞELERİ VE NUMUNELERİNİN YÖNETİMİ</w:t>
            </w:r>
          </w:p>
        </w:tc>
        <w:tc>
          <w:tcPr>
            <w:tcW w:w="1276" w:type="dxa"/>
            <w:gridSpan w:val="3"/>
            <w:tcBorders>
              <w:top w:val="single" w:sz="6" w:space="0" w:color="auto"/>
            </w:tcBorders>
            <w:vAlign w:val="center"/>
          </w:tcPr>
          <w:p w:rsidR="00D270AC" w:rsidRPr="00D270AC" w:rsidP="002B16CA">
            <w:pPr>
              <w:pStyle w:val="Header"/>
              <w:jc w:val="center"/>
              <w:rPr>
                <w:b/>
                <w:sz w:val="16"/>
                <w:szCs w:val="16"/>
              </w:rPr>
            </w:pPr>
            <w:r w:rsidRPr="00D270AC">
              <w:rPr>
                <w:b/>
                <w:sz w:val="16"/>
                <w:szCs w:val="16"/>
              </w:rPr>
              <w:t>7.2</w:t>
            </w:r>
          </w:p>
        </w:tc>
        <w:tc>
          <w:tcPr>
            <w:tcW w:w="1418" w:type="dxa"/>
            <w:gridSpan w:val="2"/>
            <w:tcBorders>
              <w:top w:val="single" w:sz="6" w:space="0" w:color="auto"/>
            </w:tcBorders>
            <w:vAlign w:val="center"/>
          </w:tcPr>
          <w:p w:rsidR="00D270AC" w:rsidRPr="00D270AC" w:rsidP="002B16CA">
            <w:pPr>
              <w:pStyle w:val="Header"/>
              <w:jc w:val="center"/>
              <w:rPr>
                <w:b/>
                <w:sz w:val="16"/>
                <w:szCs w:val="16"/>
              </w:rPr>
            </w:pPr>
          </w:p>
        </w:tc>
        <w:tc>
          <w:tcPr>
            <w:tcW w:w="1417" w:type="dxa"/>
            <w:gridSpan w:val="2"/>
            <w:tcBorders>
              <w:top w:val="single" w:sz="6" w:space="0" w:color="auto"/>
            </w:tcBorders>
            <w:vAlign w:val="center"/>
          </w:tcPr>
          <w:p w:rsidR="00D270AC" w:rsidRPr="00D270AC" w:rsidP="002B16CA">
            <w:pPr>
              <w:pStyle w:val="Header"/>
              <w:jc w:val="center"/>
              <w:rPr>
                <w:b/>
                <w:sz w:val="16"/>
                <w:szCs w:val="16"/>
              </w:rPr>
            </w:pPr>
          </w:p>
        </w:tc>
      </w:tr>
      <w:tr w:rsidTr="00D270AC">
        <w:tblPrEx>
          <w:tblW w:w="10456" w:type="dxa"/>
          <w:tblLayout w:type="fixed"/>
          <w:tblLook w:val="0000"/>
        </w:tblPrEx>
        <w:trPr>
          <w:cantSplit/>
          <w:trHeight w:val="373"/>
        </w:trPr>
        <w:tc>
          <w:tcPr>
            <w:tcW w:w="6345" w:type="dxa"/>
            <w:gridSpan w:val="8"/>
            <w:tcBorders>
              <w:top w:val="single" w:sz="6" w:space="0" w:color="auto"/>
            </w:tcBorders>
            <w:vAlign w:val="center"/>
          </w:tcPr>
          <w:p w:rsidR="00D270AC" w:rsidRPr="00D270AC" w:rsidP="00482433">
            <w:pPr>
              <w:rPr>
                <w:rStyle w:val="Strong"/>
                <w:sz w:val="16"/>
                <w:szCs w:val="16"/>
              </w:rPr>
            </w:pPr>
            <w:r w:rsidRPr="00D270AC">
              <w:rPr>
                <w:rStyle w:val="Strong"/>
                <w:sz w:val="16"/>
                <w:szCs w:val="16"/>
              </w:rPr>
              <w:t>MUAYENE KAYITLARI</w:t>
            </w:r>
          </w:p>
        </w:tc>
        <w:tc>
          <w:tcPr>
            <w:tcW w:w="1276" w:type="dxa"/>
            <w:gridSpan w:val="3"/>
            <w:tcBorders>
              <w:top w:val="single" w:sz="6" w:space="0" w:color="auto"/>
            </w:tcBorders>
            <w:vAlign w:val="center"/>
          </w:tcPr>
          <w:p w:rsidR="00D270AC" w:rsidRPr="00D270AC" w:rsidP="002B16CA">
            <w:pPr>
              <w:pStyle w:val="Header"/>
              <w:jc w:val="center"/>
              <w:rPr>
                <w:b/>
                <w:sz w:val="16"/>
                <w:szCs w:val="16"/>
              </w:rPr>
            </w:pPr>
            <w:r w:rsidRPr="00D270AC">
              <w:rPr>
                <w:b/>
                <w:sz w:val="16"/>
                <w:szCs w:val="16"/>
              </w:rPr>
              <w:t>7.3</w:t>
            </w:r>
          </w:p>
        </w:tc>
        <w:tc>
          <w:tcPr>
            <w:tcW w:w="1418" w:type="dxa"/>
            <w:gridSpan w:val="2"/>
            <w:tcBorders>
              <w:top w:val="single" w:sz="6" w:space="0" w:color="auto"/>
            </w:tcBorders>
            <w:vAlign w:val="center"/>
          </w:tcPr>
          <w:p w:rsidR="00D270AC" w:rsidRPr="00D270AC" w:rsidP="002B16CA">
            <w:pPr>
              <w:pStyle w:val="Header"/>
              <w:jc w:val="center"/>
              <w:rPr>
                <w:b/>
                <w:sz w:val="16"/>
                <w:szCs w:val="16"/>
              </w:rPr>
            </w:pPr>
          </w:p>
        </w:tc>
        <w:tc>
          <w:tcPr>
            <w:tcW w:w="1417" w:type="dxa"/>
            <w:gridSpan w:val="2"/>
            <w:tcBorders>
              <w:top w:val="single" w:sz="6" w:space="0" w:color="auto"/>
            </w:tcBorders>
            <w:vAlign w:val="center"/>
          </w:tcPr>
          <w:p w:rsidR="00D270AC" w:rsidRPr="00D270AC" w:rsidP="002B16CA">
            <w:pPr>
              <w:pStyle w:val="Header"/>
              <w:jc w:val="center"/>
              <w:rPr>
                <w:b/>
                <w:sz w:val="16"/>
                <w:szCs w:val="16"/>
              </w:rPr>
            </w:pPr>
          </w:p>
        </w:tc>
      </w:tr>
      <w:tr w:rsidTr="00D270AC">
        <w:tblPrEx>
          <w:tblW w:w="10456" w:type="dxa"/>
          <w:tblLayout w:type="fixed"/>
          <w:tblLook w:val="0000"/>
        </w:tblPrEx>
        <w:trPr>
          <w:cantSplit/>
          <w:trHeight w:val="373"/>
        </w:trPr>
        <w:tc>
          <w:tcPr>
            <w:tcW w:w="6345" w:type="dxa"/>
            <w:gridSpan w:val="8"/>
            <w:tcBorders>
              <w:top w:val="single" w:sz="6" w:space="0" w:color="auto"/>
              <w:bottom w:val="single" w:sz="6" w:space="0" w:color="auto"/>
            </w:tcBorders>
            <w:vAlign w:val="center"/>
          </w:tcPr>
          <w:p w:rsidR="00D270AC" w:rsidRPr="00D270AC" w:rsidP="003207D8">
            <w:pPr>
              <w:rPr>
                <w:rStyle w:val="Strong"/>
                <w:sz w:val="16"/>
                <w:szCs w:val="16"/>
              </w:rPr>
            </w:pPr>
            <w:r w:rsidRPr="00D270AC">
              <w:rPr>
                <w:rStyle w:val="Strong"/>
                <w:sz w:val="16"/>
                <w:szCs w:val="16"/>
              </w:rPr>
              <w:t>MUAYENE RAPORLARI VE MUAYENE SERTİFİKALARI</w:t>
            </w:r>
          </w:p>
        </w:tc>
        <w:tc>
          <w:tcPr>
            <w:tcW w:w="1276" w:type="dxa"/>
            <w:gridSpan w:val="3"/>
            <w:tcBorders>
              <w:top w:val="single" w:sz="6" w:space="0" w:color="auto"/>
              <w:bottom w:val="single" w:sz="6" w:space="0" w:color="auto"/>
            </w:tcBorders>
            <w:vAlign w:val="center"/>
          </w:tcPr>
          <w:p w:rsidR="00D270AC" w:rsidRPr="00D270AC" w:rsidP="002B16CA">
            <w:pPr>
              <w:pStyle w:val="Header"/>
              <w:jc w:val="center"/>
              <w:rPr>
                <w:b/>
                <w:sz w:val="16"/>
                <w:szCs w:val="16"/>
              </w:rPr>
            </w:pPr>
            <w:r w:rsidRPr="00D270AC">
              <w:rPr>
                <w:b/>
                <w:sz w:val="16"/>
                <w:szCs w:val="16"/>
              </w:rPr>
              <w:t>7.4</w:t>
            </w:r>
          </w:p>
        </w:tc>
        <w:tc>
          <w:tcPr>
            <w:tcW w:w="1418" w:type="dxa"/>
            <w:gridSpan w:val="2"/>
            <w:tcBorders>
              <w:top w:val="single" w:sz="6" w:space="0" w:color="auto"/>
              <w:bottom w:val="single" w:sz="6" w:space="0" w:color="auto"/>
            </w:tcBorders>
            <w:vAlign w:val="center"/>
          </w:tcPr>
          <w:p w:rsidR="00D270AC" w:rsidRPr="00D270AC" w:rsidP="002B16CA">
            <w:pPr>
              <w:pStyle w:val="Header"/>
              <w:jc w:val="center"/>
              <w:rPr>
                <w:b/>
                <w:sz w:val="16"/>
                <w:szCs w:val="16"/>
              </w:rPr>
            </w:pPr>
          </w:p>
        </w:tc>
        <w:tc>
          <w:tcPr>
            <w:tcW w:w="1417" w:type="dxa"/>
            <w:gridSpan w:val="2"/>
            <w:tcBorders>
              <w:top w:val="single" w:sz="6" w:space="0" w:color="auto"/>
              <w:bottom w:val="single" w:sz="6" w:space="0" w:color="auto"/>
            </w:tcBorders>
            <w:vAlign w:val="center"/>
          </w:tcPr>
          <w:p w:rsidR="00D270AC" w:rsidRPr="00D270AC" w:rsidP="002B16CA">
            <w:pPr>
              <w:pStyle w:val="Header"/>
              <w:jc w:val="center"/>
              <w:rPr>
                <w:b/>
                <w:sz w:val="16"/>
                <w:szCs w:val="16"/>
              </w:rPr>
            </w:pPr>
          </w:p>
        </w:tc>
      </w:tr>
      <w:tr w:rsidTr="00F918C8">
        <w:tblPrEx>
          <w:tblW w:w="10456" w:type="dxa"/>
          <w:tblLayout w:type="fixed"/>
          <w:tblLook w:val="0000"/>
        </w:tblPrEx>
        <w:trPr>
          <w:cantSplit/>
          <w:trHeight w:val="170"/>
        </w:trPr>
        <w:tc>
          <w:tcPr>
            <w:tcW w:w="6487" w:type="dxa"/>
            <w:gridSpan w:val="9"/>
            <w:tcBorders>
              <w:top w:val="single" w:sz="6" w:space="0" w:color="auto"/>
              <w:left w:val="nil"/>
              <w:right w:val="nil"/>
            </w:tcBorders>
            <w:vAlign w:val="center"/>
          </w:tcPr>
          <w:p w:rsidR="00D270AC" w:rsidRPr="008C2F2A" w:rsidP="003207D8">
            <w:pPr>
              <w:rPr>
                <w:rStyle w:val="Strong"/>
                <w:sz w:val="18"/>
                <w:szCs w:val="18"/>
              </w:rPr>
            </w:pPr>
          </w:p>
        </w:tc>
        <w:tc>
          <w:tcPr>
            <w:tcW w:w="1134" w:type="dxa"/>
            <w:gridSpan w:val="2"/>
            <w:tcBorders>
              <w:top w:val="single" w:sz="6" w:space="0" w:color="auto"/>
              <w:left w:val="nil"/>
              <w:right w:val="nil"/>
            </w:tcBorders>
            <w:vAlign w:val="center"/>
          </w:tcPr>
          <w:p w:rsidR="00D270AC" w:rsidRPr="008C2F2A" w:rsidP="002B16CA">
            <w:pPr>
              <w:pStyle w:val="Header"/>
              <w:jc w:val="center"/>
              <w:rPr>
                <w:b/>
                <w:sz w:val="18"/>
                <w:szCs w:val="18"/>
              </w:rPr>
            </w:pPr>
          </w:p>
        </w:tc>
        <w:tc>
          <w:tcPr>
            <w:tcW w:w="1418" w:type="dxa"/>
            <w:gridSpan w:val="2"/>
            <w:tcBorders>
              <w:top w:val="single" w:sz="6" w:space="0" w:color="auto"/>
              <w:left w:val="nil"/>
              <w:right w:val="nil"/>
            </w:tcBorders>
            <w:vAlign w:val="center"/>
          </w:tcPr>
          <w:p w:rsidR="00D270AC" w:rsidRPr="008C2F2A" w:rsidP="002B16CA">
            <w:pPr>
              <w:pStyle w:val="Header"/>
              <w:jc w:val="center"/>
              <w:rPr>
                <w:b/>
                <w:sz w:val="18"/>
                <w:szCs w:val="18"/>
              </w:rPr>
            </w:pPr>
          </w:p>
        </w:tc>
        <w:tc>
          <w:tcPr>
            <w:tcW w:w="1417" w:type="dxa"/>
            <w:gridSpan w:val="2"/>
            <w:tcBorders>
              <w:top w:val="single" w:sz="6" w:space="0" w:color="auto"/>
              <w:left w:val="nil"/>
              <w:right w:val="nil"/>
            </w:tcBorders>
            <w:vAlign w:val="center"/>
          </w:tcPr>
          <w:p w:rsidR="00D270AC" w:rsidRPr="008C2F2A" w:rsidP="002B16CA">
            <w:pPr>
              <w:pStyle w:val="Header"/>
              <w:jc w:val="center"/>
              <w:rPr>
                <w:b/>
                <w:sz w:val="18"/>
                <w:szCs w:val="18"/>
              </w:rPr>
            </w:pPr>
          </w:p>
        </w:tc>
      </w:tr>
      <w:tr w:rsidTr="008C2F2A">
        <w:tblPrEx>
          <w:tblW w:w="10456" w:type="dxa"/>
          <w:tblLayout w:type="fixed"/>
          <w:tblLook w:val="0000"/>
        </w:tblPrEx>
        <w:trPr>
          <w:cantSplit/>
          <w:trHeight w:val="373"/>
        </w:trPr>
        <w:tc>
          <w:tcPr>
            <w:tcW w:w="9039" w:type="dxa"/>
            <w:gridSpan w:val="13"/>
            <w:tcBorders>
              <w:top w:val="single" w:sz="6" w:space="0" w:color="auto"/>
            </w:tcBorders>
            <w:vAlign w:val="center"/>
          </w:tcPr>
          <w:p w:rsidR="00D270AC" w:rsidRPr="00C21290" w:rsidP="0031342E">
            <w:pPr>
              <w:pStyle w:val="BodyText3"/>
              <w:rPr>
                <w:b/>
                <w:lang w:val="en-US"/>
              </w:rPr>
            </w:pPr>
            <w:r w:rsidRPr="00C21290">
              <w:rPr>
                <w:b/>
                <w:lang w:val="en-US"/>
              </w:rPr>
              <w:t>KURULUŞ, TS EN ISO/IEC 17020:HAZİRAN 2012 STANDARDININ YUKARIDA BELİRTİLEN MADDELERİ YÖNÜYLE UYGUNDUR</w:t>
            </w:r>
          </w:p>
        </w:tc>
        <w:tc>
          <w:tcPr>
            <w:tcW w:w="1417" w:type="dxa"/>
            <w:gridSpan w:val="2"/>
            <w:tcBorders>
              <w:top w:val="single" w:sz="6" w:space="0" w:color="auto"/>
            </w:tcBorders>
            <w:vAlign w:val="center"/>
          </w:tcPr>
          <w:p w:rsidR="00D270AC" w:rsidRPr="002B16CA" w:rsidP="0031342E">
            <w:pPr>
              <w:pStyle w:val="Header"/>
              <w:jc w:val="center"/>
              <w:rPr>
                <w:b/>
                <w:sz w:val="16"/>
                <w:szCs w:val="16"/>
              </w:rPr>
            </w:pPr>
          </w:p>
        </w:tc>
      </w:tr>
      <w:tr w:rsidTr="008C2F2A">
        <w:tblPrEx>
          <w:tblW w:w="10456" w:type="dxa"/>
          <w:tblLayout w:type="fixed"/>
          <w:tblLook w:val="0000"/>
        </w:tblPrEx>
        <w:trPr>
          <w:cantSplit/>
          <w:trHeight w:val="373"/>
        </w:trPr>
        <w:tc>
          <w:tcPr>
            <w:tcW w:w="9039" w:type="dxa"/>
            <w:gridSpan w:val="13"/>
            <w:tcBorders>
              <w:top w:val="single" w:sz="6" w:space="0" w:color="auto"/>
            </w:tcBorders>
            <w:vAlign w:val="center"/>
          </w:tcPr>
          <w:p w:rsidR="00D270AC" w:rsidRPr="00C21290" w:rsidP="0031342E">
            <w:pPr>
              <w:pStyle w:val="BodyText3"/>
              <w:rPr>
                <w:b/>
                <w:lang w:val="en-US"/>
              </w:rPr>
            </w:pPr>
            <w:r w:rsidRPr="00C21290">
              <w:rPr>
                <w:b/>
                <w:lang w:val="en-US"/>
              </w:rPr>
              <w:t>KURULUŞ, TS EN ISO/IEC 17020:HAZİRAN 2012 STANDARDININ YUKARIDA BELİRTİLEN MADDELERİ YÖNÜYLE UYGUN DEĞİLDİR</w:t>
            </w:r>
          </w:p>
        </w:tc>
        <w:tc>
          <w:tcPr>
            <w:tcW w:w="1417" w:type="dxa"/>
            <w:gridSpan w:val="2"/>
            <w:tcBorders>
              <w:top w:val="single" w:sz="6" w:space="0" w:color="auto"/>
            </w:tcBorders>
            <w:vAlign w:val="center"/>
          </w:tcPr>
          <w:p w:rsidR="00D270AC" w:rsidRPr="002B16CA" w:rsidP="0031342E">
            <w:pPr>
              <w:pStyle w:val="Header"/>
              <w:jc w:val="center"/>
              <w:rPr>
                <w:b/>
                <w:sz w:val="16"/>
                <w:szCs w:val="16"/>
              </w:rPr>
            </w:pPr>
          </w:p>
        </w:tc>
      </w:tr>
      <w:tr w:rsidTr="008C2F2A">
        <w:tblPrEx>
          <w:tblW w:w="10456" w:type="dxa"/>
          <w:tblLayout w:type="fixed"/>
          <w:tblLook w:val="0000"/>
        </w:tblPrEx>
        <w:trPr>
          <w:cantSplit/>
          <w:trHeight w:val="373"/>
        </w:trPr>
        <w:tc>
          <w:tcPr>
            <w:tcW w:w="10456" w:type="dxa"/>
            <w:gridSpan w:val="15"/>
            <w:tcBorders>
              <w:top w:val="single" w:sz="6" w:space="0" w:color="auto"/>
            </w:tcBorders>
            <w:vAlign w:val="center"/>
          </w:tcPr>
          <w:p w:rsidR="00D270AC" w:rsidRPr="00C21290" w:rsidP="00F918C8">
            <w:pPr>
              <w:rPr>
                <w:b/>
                <w:sz w:val="16"/>
                <w:szCs w:val="16"/>
                <w:lang w:val="en-US"/>
              </w:rPr>
            </w:pPr>
            <w:r w:rsidRPr="00C21290">
              <w:rPr>
                <w:b/>
                <w:sz w:val="16"/>
                <w:szCs w:val="16"/>
                <w:lang w:val="en-US"/>
              </w:rPr>
              <w:t>Bu rapor, firmanın yukarıda belirtilen adresinde ve  …/…/...  tarihinde yapılan inceleme neticesinde, toplam  ….  sayfa ve 3 nüsha olarak hazırlanmıştır.</w:t>
            </w:r>
          </w:p>
        </w:tc>
      </w:tr>
      <w:tr w:rsidTr="008C2F2A">
        <w:tblPrEx>
          <w:tblW w:w="10456" w:type="dxa"/>
          <w:tblLayout w:type="fixed"/>
          <w:tblLook w:val="0000"/>
        </w:tblPrEx>
        <w:trPr>
          <w:cantSplit/>
          <w:trHeight w:val="373"/>
        </w:trPr>
        <w:tc>
          <w:tcPr>
            <w:tcW w:w="3085" w:type="dxa"/>
            <w:gridSpan w:val="4"/>
            <w:tcBorders>
              <w:top w:val="single" w:sz="6" w:space="0" w:color="auto"/>
            </w:tcBorders>
            <w:vAlign w:val="center"/>
          </w:tcPr>
          <w:p w:rsidR="00D270AC" w:rsidP="008C2F2A">
            <w:pPr>
              <w:pStyle w:val="Header"/>
              <w:jc w:val="center"/>
              <w:rPr>
                <w:b/>
                <w:sz w:val="16"/>
                <w:szCs w:val="16"/>
              </w:rPr>
            </w:pPr>
          </w:p>
        </w:tc>
        <w:tc>
          <w:tcPr>
            <w:tcW w:w="3402" w:type="dxa"/>
            <w:gridSpan w:val="5"/>
            <w:tcBorders>
              <w:top w:val="single" w:sz="6" w:space="0" w:color="auto"/>
            </w:tcBorders>
          </w:tcPr>
          <w:p w:rsidR="00D270AC" w:rsidRPr="00C21290" w:rsidP="004F2BEF">
            <w:pPr>
              <w:keepNext/>
              <w:jc w:val="center"/>
              <w:outlineLvl w:val="0"/>
              <w:rPr>
                <w:b/>
                <w:sz w:val="18"/>
                <w:szCs w:val="16"/>
                <w:lang w:val="en-US"/>
              </w:rPr>
            </w:pPr>
          </w:p>
          <w:p w:rsidR="00D270AC" w:rsidRPr="00C21290" w:rsidP="004F2BEF">
            <w:pPr>
              <w:keepNext/>
              <w:jc w:val="center"/>
              <w:outlineLvl w:val="0"/>
              <w:rPr>
                <w:b/>
                <w:sz w:val="18"/>
                <w:szCs w:val="16"/>
                <w:lang w:val="en-US"/>
              </w:rPr>
            </w:pPr>
            <w:r w:rsidRPr="00C21290">
              <w:rPr>
                <w:b/>
                <w:sz w:val="18"/>
                <w:szCs w:val="16"/>
                <w:lang w:val="en-US"/>
              </w:rPr>
              <w:t>Adı Soyadı</w:t>
            </w:r>
          </w:p>
        </w:tc>
        <w:tc>
          <w:tcPr>
            <w:tcW w:w="3969" w:type="dxa"/>
            <w:gridSpan w:val="6"/>
            <w:tcBorders>
              <w:top w:val="single" w:sz="6" w:space="0" w:color="auto"/>
            </w:tcBorders>
            <w:vAlign w:val="center"/>
          </w:tcPr>
          <w:p w:rsidR="00D270AC" w:rsidRPr="00C21290" w:rsidP="003A79B6">
            <w:pPr>
              <w:keepNext/>
              <w:jc w:val="center"/>
              <w:outlineLvl w:val="0"/>
              <w:rPr>
                <w:b/>
                <w:bCs/>
                <w:sz w:val="18"/>
              </w:rPr>
            </w:pPr>
            <w:r w:rsidRPr="00C21290">
              <w:rPr>
                <w:b/>
                <w:bCs/>
                <w:sz w:val="18"/>
              </w:rPr>
              <w:t>İmza</w:t>
            </w:r>
          </w:p>
        </w:tc>
      </w:tr>
      <w:tr w:rsidTr="008C2F2A">
        <w:tblPrEx>
          <w:tblW w:w="10456" w:type="dxa"/>
          <w:tblLayout w:type="fixed"/>
          <w:tblLook w:val="0000"/>
        </w:tblPrEx>
        <w:trPr>
          <w:cantSplit/>
          <w:trHeight w:val="373"/>
        </w:trPr>
        <w:tc>
          <w:tcPr>
            <w:tcW w:w="3085" w:type="dxa"/>
            <w:gridSpan w:val="4"/>
            <w:tcBorders>
              <w:top w:val="single" w:sz="6" w:space="0" w:color="auto"/>
            </w:tcBorders>
            <w:vAlign w:val="bottom"/>
          </w:tcPr>
          <w:p w:rsidR="00D270AC" w:rsidRPr="00C21290" w:rsidP="001B0562">
            <w:pPr>
              <w:keepNext/>
              <w:jc w:val="center"/>
              <w:outlineLvl w:val="0"/>
              <w:rPr>
                <w:b/>
                <w:bCs/>
                <w:sz w:val="18"/>
                <w:lang w:val="fr-FR"/>
              </w:rPr>
            </w:pPr>
            <w:r w:rsidRPr="00C21290">
              <w:rPr>
                <w:b/>
                <w:bCs/>
                <w:sz w:val="18"/>
                <w:lang w:val="fr-FR"/>
              </w:rPr>
              <w:t>TSE İnceleme Uzmanı</w:t>
            </w:r>
          </w:p>
          <w:p w:rsidR="00D270AC" w:rsidRPr="00C21290" w:rsidP="001B0562">
            <w:pPr>
              <w:rPr>
                <w:b/>
                <w:sz w:val="18"/>
                <w:szCs w:val="16"/>
                <w:lang w:val="fr-FR"/>
              </w:rPr>
            </w:pPr>
          </w:p>
        </w:tc>
        <w:tc>
          <w:tcPr>
            <w:tcW w:w="3402" w:type="dxa"/>
            <w:gridSpan w:val="5"/>
            <w:tcBorders>
              <w:top w:val="single" w:sz="6" w:space="0" w:color="auto"/>
            </w:tcBorders>
          </w:tcPr>
          <w:p w:rsidR="00D270AC" w:rsidRPr="00C21290" w:rsidP="004F2BEF">
            <w:pPr>
              <w:keepNext/>
              <w:jc w:val="center"/>
              <w:outlineLvl w:val="0"/>
              <w:rPr>
                <w:b/>
                <w:sz w:val="18"/>
                <w:szCs w:val="16"/>
                <w:lang w:val="en-US"/>
              </w:rPr>
            </w:pPr>
          </w:p>
        </w:tc>
        <w:tc>
          <w:tcPr>
            <w:tcW w:w="3969" w:type="dxa"/>
            <w:gridSpan w:val="6"/>
            <w:tcBorders>
              <w:top w:val="single" w:sz="6" w:space="0" w:color="auto"/>
            </w:tcBorders>
            <w:vAlign w:val="center"/>
          </w:tcPr>
          <w:p w:rsidR="00D270AC" w:rsidRPr="00C21290" w:rsidP="003A79B6">
            <w:pPr>
              <w:keepNext/>
              <w:jc w:val="center"/>
              <w:outlineLvl w:val="0"/>
              <w:rPr>
                <w:b/>
                <w:bCs/>
                <w:sz w:val="18"/>
              </w:rPr>
            </w:pPr>
          </w:p>
        </w:tc>
      </w:tr>
      <w:tr w:rsidTr="008C2F2A">
        <w:tblPrEx>
          <w:tblW w:w="10456" w:type="dxa"/>
          <w:tblLayout w:type="fixed"/>
          <w:tblLook w:val="0000"/>
        </w:tblPrEx>
        <w:trPr>
          <w:cantSplit/>
          <w:trHeight w:val="373"/>
        </w:trPr>
        <w:tc>
          <w:tcPr>
            <w:tcW w:w="3085" w:type="dxa"/>
            <w:gridSpan w:val="4"/>
            <w:tcBorders>
              <w:top w:val="single" w:sz="6" w:space="0" w:color="auto"/>
            </w:tcBorders>
            <w:vAlign w:val="bottom"/>
          </w:tcPr>
          <w:p w:rsidR="00D270AC" w:rsidRPr="00C21290" w:rsidP="00746096">
            <w:pPr>
              <w:keepNext/>
              <w:jc w:val="center"/>
              <w:outlineLvl w:val="0"/>
              <w:rPr>
                <w:b/>
                <w:bCs/>
                <w:sz w:val="18"/>
                <w:lang w:val="fr-FR"/>
              </w:rPr>
            </w:pPr>
            <w:r w:rsidRPr="00C21290">
              <w:rPr>
                <w:b/>
                <w:bCs/>
                <w:sz w:val="18"/>
                <w:lang w:val="fr-FR"/>
              </w:rPr>
              <w:t>TSE İnceleme Uzmanı</w:t>
            </w:r>
          </w:p>
          <w:p w:rsidR="00D270AC" w:rsidRPr="00C21290" w:rsidP="00746096">
            <w:pPr>
              <w:rPr>
                <w:b/>
                <w:sz w:val="18"/>
                <w:szCs w:val="16"/>
                <w:lang w:val="fr-FR"/>
              </w:rPr>
            </w:pPr>
          </w:p>
        </w:tc>
        <w:tc>
          <w:tcPr>
            <w:tcW w:w="3402" w:type="dxa"/>
            <w:gridSpan w:val="5"/>
            <w:tcBorders>
              <w:top w:val="single" w:sz="6" w:space="0" w:color="auto"/>
            </w:tcBorders>
          </w:tcPr>
          <w:p w:rsidR="00D270AC" w:rsidRPr="00C21290" w:rsidP="004F2BEF">
            <w:pPr>
              <w:keepNext/>
              <w:jc w:val="center"/>
              <w:outlineLvl w:val="0"/>
              <w:rPr>
                <w:b/>
                <w:sz w:val="18"/>
                <w:szCs w:val="16"/>
                <w:lang w:val="en-US"/>
              </w:rPr>
            </w:pPr>
          </w:p>
        </w:tc>
        <w:tc>
          <w:tcPr>
            <w:tcW w:w="3969" w:type="dxa"/>
            <w:gridSpan w:val="6"/>
            <w:tcBorders>
              <w:top w:val="single" w:sz="6" w:space="0" w:color="auto"/>
            </w:tcBorders>
            <w:vAlign w:val="center"/>
          </w:tcPr>
          <w:p w:rsidR="00D270AC" w:rsidRPr="00C21290" w:rsidP="003A79B6">
            <w:pPr>
              <w:keepNext/>
              <w:jc w:val="center"/>
              <w:outlineLvl w:val="0"/>
              <w:rPr>
                <w:b/>
                <w:bCs/>
                <w:sz w:val="18"/>
              </w:rPr>
            </w:pPr>
          </w:p>
        </w:tc>
      </w:tr>
      <w:tr w:rsidTr="008C2F2A">
        <w:tblPrEx>
          <w:tblW w:w="10456" w:type="dxa"/>
          <w:tblLayout w:type="fixed"/>
          <w:tblLook w:val="0000"/>
        </w:tblPrEx>
        <w:trPr>
          <w:cantSplit/>
          <w:trHeight w:val="373"/>
        </w:trPr>
        <w:tc>
          <w:tcPr>
            <w:tcW w:w="3085" w:type="dxa"/>
            <w:gridSpan w:val="4"/>
            <w:tcBorders>
              <w:top w:val="single" w:sz="6" w:space="0" w:color="auto"/>
            </w:tcBorders>
            <w:vAlign w:val="bottom"/>
          </w:tcPr>
          <w:p w:rsidR="00D270AC" w:rsidRPr="00C21290" w:rsidP="002B3D8D">
            <w:pPr>
              <w:keepNext/>
              <w:jc w:val="center"/>
              <w:outlineLvl w:val="0"/>
              <w:rPr>
                <w:b/>
                <w:bCs/>
                <w:sz w:val="18"/>
                <w:lang w:val="fr-FR"/>
              </w:rPr>
            </w:pPr>
            <w:r w:rsidRPr="00C21290">
              <w:rPr>
                <w:b/>
                <w:bCs/>
                <w:sz w:val="18"/>
                <w:lang w:val="fr-FR"/>
              </w:rPr>
              <w:t>ONAYLAYAN</w:t>
            </w:r>
          </w:p>
        </w:tc>
        <w:tc>
          <w:tcPr>
            <w:tcW w:w="3402" w:type="dxa"/>
            <w:gridSpan w:val="5"/>
            <w:tcBorders>
              <w:top w:val="single" w:sz="6" w:space="0" w:color="auto"/>
            </w:tcBorders>
          </w:tcPr>
          <w:p w:rsidR="00D270AC" w:rsidRPr="00C21290" w:rsidP="004F2BEF">
            <w:pPr>
              <w:keepNext/>
              <w:jc w:val="center"/>
              <w:outlineLvl w:val="0"/>
              <w:rPr>
                <w:b/>
                <w:sz w:val="18"/>
                <w:szCs w:val="16"/>
                <w:lang w:val="en-US"/>
              </w:rPr>
            </w:pPr>
          </w:p>
        </w:tc>
        <w:tc>
          <w:tcPr>
            <w:tcW w:w="3969" w:type="dxa"/>
            <w:gridSpan w:val="6"/>
            <w:tcBorders>
              <w:top w:val="single" w:sz="6" w:space="0" w:color="auto"/>
            </w:tcBorders>
            <w:vAlign w:val="center"/>
          </w:tcPr>
          <w:p w:rsidR="00D270AC" w:rsidRPr="00C21290" w:rsidP="003A79B6">
            <w:pPr>
              <w:keepNext/>
              <w:jc w:val="center"/>
              <w:outlineLvl w:val="0"/>
              <w:rPr>
                <w:b/>
                <w:bCs/>
                <w:sz w:val="18"/>
              </w:rPr>
            </w:pPr>
          </w:p>
        </w:tc>
      </w:tr>
    </w:tbl>
    <w:p w:rsidR="000021B1" w:rsidRPr="00C21290" w:rsidP="000021B1">
      <w:pPr>
        <w:rPr>
          <w:sz w:val="22"/>
          <w:szCs w:val="22"/>
        </w:rPr>
      </w:pPr>
    </w:p>
    <w:tbl>
      <w:tblPr>
        <w:tblStyle w:val="TableGrid"/>
        <w:tblW w:w="10348" w:type="dxa"/>
        <w:tblInd w:w="108" w:type="dxa"/>
        <w:tblLook w:val="04A0"/>
      </w:tblPr>
      <w:tblGrid>
        <w:gridCol w:w="6036"/>
        <w:gridCol w:w="1951"/>
        <w:gridCol w:w="1133"/>
        <w:gridCol w:w="1228"/>
      </w:tblGrid>
      <w:tr w:rsidTr="007A6BE7">
        <w:tblPrEx>
          <w:tblW w:w="10348" w:type="dxa"/>
          <w:tblInd w:w="108" w:type="dxa"/>
          <w:tblLook w:val="04A0"/>
        </w:tblPrEx>
        <w:tc>
          <w:tcPr>
            <w:tcW w:w="6237" w:type="dxa"/>
          </w:tcPr>
          <w:p w:rsidR="007A6BE7" w:rsidRPr="00C21290" w:rsidP="00281C59">
            <w:pPr>
              <w:pStyle w:val="Heading2"/>
              <w:outlineLvl w:val="1"/>
              <w:rPr>
                <w:rFonts w:ascii="Times New Roman" w:hAnsi="Times New Roman" w:cs="Times New Roman"/>
                <w:szCs w:val="24"/>
              </w:rPr>
            </w:pPr>
          </w:p>
        </w:tc>
        <w:tc>
          <w:tcPr>
            <w:tcW w:w="1985" w:type="dxa"/>
          </w:tcPr>
          <w:p w:rsidR="007A6BE7" w:rsidRPr="007A6BE7" w:rsidP="00281C59">
            <w:pPr>
              <w:autoSpaceDE w:val="0"/>
              <w:autoSpaceDN w:val="0"/>
              <w:adjustRightInd w:val="0"/>
              <w:rPr>
                <w:rFonts w:eastAsia="Calibri"/>
                <w:b/>
              </w:rPr>
            </w:pPr>
            <w:r w:rsidRPr="007A6BE7">
              <w:rPr>
                <w:rFonts w:eastAsia="Calibri"/>
                <w:b/>
              </w:rPr>
              <w:t>AÇIKLAMA</w:t>
            </w:r>
          </w:p>
        </w:tc>
        <w:tc>
          <w:tcPr>
            <w:tcW w:w="1134" w:type="dxa"/>
          </w:tcPr>
          <w:p w:rsidR="007A6BE7" w:rsidRPr="007A6BE7" w:rsidP="00281C59">
            <w:pPr>
              <w:autoSpaceDE w:val="0"/>
              <w:autoSpaceDN w:val="0"/>
              <w:adjustRightInd w:val="0"/>
              <w:rPr>
                <w:rFonts w:eastAsia="Calibri"/>
                <w:b/>
              </w:rPr>
            </w:pPr>
            <w:r w:rsidRPr="007A6BE7">
              <w:rPr>
                <w:rFonts w:eastAsia="Calibri"/>
                <w:b/>
              </w:rPr>
              <w:t>OLUMLU</w:t>
            </w:r>
          </w:p>
        </w:tc>
        <w:tc>
          <w:tcPr>
            <w:tcW w:w="992" w:type="dxa"/>
          </w:tcPr>
          <w:p w:rsidR="007A6BE7" w:rsidRPr="007A6BE7" w:rsidP="00281C59">
            <w:pPr>
              <w:autoSpaceDE w:val="0"/>
              <w:autoSpaceDN w:val="0"/>
              <w:adjustRightInd w:val="0"/>
              <w:rPr>
                <w:rFonts w:eastAsia="Calibri"/>
                <w:b/>
              </w:rPr>
            </w:pPr>
            <w:r w:rsidRPr="007A6BE7">
              <w:rPr>
                <w:rFonts w:eastAsia="Calibri"/>
                <w:b/>
              </w:rPr>
              <w:t>OLUMSUZ</w:t>
            </w:r>
          </w:p>
        </w:tc>
      </w:tr>
      <w:tr w:rsidTr="007A6BE7">
        <w:tblPrEx>
          <w:tblW w:w="10348" w:type="dxa"/>
          <w:tblInd w:w="108" w:type="dxa"/>
          <w:tblLook w:val="04A0"/>
        </w:tblPrEx>
        <w:tc>
          <w:tcPr>
            <w:tcW w:w="6237" w:type="dxa"/>
          </w:tcPr>
          <w:p w:rsidR="007A6BE7" w:rsidRPr="00C21290" w:rsidP="00281C59">
            <w:pPr>
              <w:pStyle w:val="Heading2"/>
              <w:outlineLvl w:val="1"/>
              <w:rPr>
                <w:rFonts w:ascii="Times New Roman" w:hAnsi="Times New Roman" w:cs="Times New Roman"/>
                <w:szCs w:val="24"/>
              </w:rPr>
            </w:pPr>
            <w:bookmarkStart w:id="0" w:name="_Toc356382485"/>
            <w:r w:rsidRPr="00C21290">
              <w:rPr>
                <w:rFonts w:ascii="Times New Roman" w:hAnsi="Times New Roman" w:cs="Times New Roman"/>
                <w:szCs w:val="24"/>
              </w:rPr>
              <w:t>6.1</w:t>
              <w:tab/>
              <w:t>Personel</w:t>
            </w:r>
            <w:bookmarkEnd w:id="0"/>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6.1.1</w:t>
              <w:tab/>
            </w:r>
            <w:r w:rsidRPr="00C21290">
              <w:rPr>
                <w:sz w:val="24"/>
                <w:szCs w:val="24"/>
                <w:lang w:eastAsia="en-US"/>
              </w:rPr>
              <w:t>Muayene kuruluşu; muayene faaliyetlerinde yer alan tüm personele ilişkin öğrenim, eğitim, teknik bilgi birikimi, beceri ve tecrübe şartları dâhil, yeterlilik şartlarını tanımlamalı ve dokümante etmelidir.</w:t>
            </w:r>
          </w:p>
          <w:p w:rsidR="007A6BE7" w:rsidRPr="00C21290" w:rsidP="00281C59">
            <w:pPr>
              <w:jc w:val="both"/>
              <w:rPr>
                <w:sz w:val="24"/>
                <w:szCs w:val="24"/>
                <w:lang w:eastAsia="en-US"/>
              </w:rPr>
            </w:pPr>
          </w:p>
          <w:p w:rsidR="007A6BE7" w:rsidRPr="00C21290" w:rsidP="00281C59">
            <w:pPr>
              <w:autoSpaceDE w:val="0"/>
              <w:autoSpaceDN w:val="0"/>
              <w:adjustRightInd w:val="0"/>
              <w:rPr>
                <w:rFonts w:eastAsia="Calibri"/>
                <w:color w:val="FF0000"/>
                <w:sz w:val="24"/>
                <w:szCs w:val="24"/>
              </w:rPr>
            </w:pPr>
            <w:r w:rsidRPr="00C21290">
              <w:rPr>
                <w:b/>
                <w:sz w:val="24"/>
                <w:szCs w:val="24"/>
              </w:rPr>
              <w:t>Not -</w:t>
            </w:r>
            <w:r w:rsidRPr="00C21290">
              <w:rPr>
                <w:sz w:val="24"/>
                <w:szCs w:val="24"/>
              </w:rPr>
              <w:tab/>
              <w:t>Yeterlilik şartları, Madde 5.2.7’de belirtilen görev tanımı veya diğer dokümanların bir parçası olabilir.</w:t>
            </w:r>
            <w:r w:rsidRPr="00C21290">
              <w:rPr>
                <w:rFonts w:eastAsia="Calibri"/>
                <w:color w:val="FF0000"/>
                <w:sz w:val="24"/>
                <w:szCs w:val="24"/>
              </w:rPr>
              <w:t xml:space="preserve"> </w:t>
            </w:r>
          </w:p>
          <w:p w:rsidR="007A6BE7" w:rsidRPr="00C21290" w:rsidP="00281C59">
            <w:pPr>
              <w:autoSpaceDE w:val="0"/>
              <w:autoSpaceDN w:val="0"/>
              <w:adjustRightInd w:val="0"/>
              <w:rPr>
                <w:rFonts w:eastAsia="Calibri"/>
                <w:color w:val="FF0000"/>
                <w:sz w:val="24"/>
                <w:szCs w:val="24"/>
              </w:rPr>
            </w:pPr>
          </w:p>
          <w:p w:rsidR="007A6BE7" w:rsidRPr="00C21290" w:rsidP="00281C59">
            <w:pPr>
              <w:autoSpaceDE w:val="0"/>
              <w:autoSpaceDN w:val="0"/>
              <w:adjustRightInd w:val="0"/>
              <w:rPr>
                <w:rFonts w:eastAsia="Calibri"/>
                <w:b/>
                <w:i/>
                <w:sz w:val="24"/>
                <w:szCs w:val="24"/>
              </w:rPr>
            </w:pPr>
            <w:r w:rsidRPr="00C21290">
              <w:rPr>
                <w:rFonts w:eastAsia="Calibri"/>
                <w:b/>
                <w:i/>
                <w:sz w:val="24"/>
                <w:szCs w:val="24"/>
              </w:rPr>
              <w:t>(- İdari personel ve teknik personel Bakanlık tarafından düzenlenen idari eğitime katılmış olmalıdır. (İdari eğitim belgesi, Yönetmelik EK-2, 7/ç</w:t>
            </w:r>
            <w:bookmarkStart w:id="1" w:name="_GoBack"/>
            <w:bookmarkEnd w:id="1"/>
            <w:r w:rsidRPr="00C21290">
              <w:rPr>
                <w:rFonts w:eastAsia="Calibri"/>
                <w:b/>
                <w:i/>
                <w:sz w:val="24"/>
                <w:szCs w:val="24"/>
              </w:rPr>
              <w:t>)</w:t>
            </w:r>
          </w:p>
          <w:p w:rsidR="007A6BE7" w:rsidRPr="00C21290" w:rsidP="00281C59">
            <w:pPr>
              <w:jc w:val="both"/>
              <w:rPr>
                <w:rFonts w:eastAsia="Calibri"/>
                <w:b/>
                <w:i/>
                <w:sz w:val="24"/>
                <w:szCs w:val="24"/>
              </w:rPr>
            </w:pPr>
            <w:r w:rsidRPr="00C21290">
              <w:rPr>
                <w:rFonts w:eastAsia="Calibri"/>
                <w:b/>
                <w:i/>
                <w:sz w:val="24"/>
                <w:szCs w:val="24"/>
              </w:rPr>
              <w:t>- Teknik personel, mevzuatta belirtilmiş olan teknik eğitime katılmış olmalıdır.(Teknik eğitim belgesi, Yönetmelik EK-2, 8/ç)</w:t>
            </w:r>
          </w:p>
          <w:p w:rsidR="007A6BE7" w:rsidRPr="00C21290" w:rsidP="00281C59">
            <w:pPr>
              <w:jc w:val="both"/>
              <w:rPr>
                <w:rFonts w:eastAsia="Calibri"/>
                <w:b/>
                <w:i/>
                <w:sz w:val="24"/>
                <w:szCs w:val="24"/>
              </w:rPr>
            </w:pPr>
            <w:r w:rsidRPr="00C21290">
              <w:rPr>
                <w:rFonts w:eastAsia="Calibri"/>
                <w:b/>
                <w:i/>
                <w:sz w:val="24"/>
                <w:szCs w:val="24"/>
              </w:rPr>
              <w:t>- İdari personelde, en az lise mezunu ve on sekiz yaşını doldurmuş olması şartı aranır. (Yönetmelik 14/2)</w:t>
            </w:r>
          </w:p>
          <w:p w:rsidR="007A6BE7" w:rsidRPr="00C21290" w:rsidP="00281C59">
            <w:pPr>
              <w:jc w:val="both"/>
              <w:rPr>
                <w:sz w:val="24"/>
                <w:szCs w:val="24"/>
                <w:lang w:eastAsia="en-US"/>
              </w:rPr>
            </w:pPr>
            <w:r w:rsidRPr="00C21290">
              <w:rPr>
                <w:b/>
                <w:i/>
                <w:sz w:val="24"/>
                <w:szCs w:val="24"/>
                <w:lang w:eastAsia="en-US"/>
              </w:rPr>
              <w:t>- Teknik personelde, liselerin teknik eğitim veren bölümlerinin birinden veya üniversitelerin önlisans ve lisans programlarında teknik eğitim veren bölümlerin birinden mezun olması şartı aranır. (Yönetmelik 14/3))</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6.1.2</w:t>
              <w:tab/>
            </w:r>
            <w:r w:rsidRPr="00C21290">
              <w:rPr>
                <w:sz w:val="24"/>
                <w:szCs w:val="24"/>
                <w:lang w:eastAsia="en-US"/>
              </w:rPr>
              <w:t>Muayene kuruluşu; muayene faaliyetlerinin tip, çeşitlilik ve hacim açısından gerçekleştirilebilmesi için, gerektiğinde mesleki hüküm verebilmeleri dâhil gereken yeterliliklere sahip, yeterli sayıda personeli istihdam etmeli veya sözleşmeli olarak çalıştırmalıdır.</w:t>
            </w:r>
          </w:p>
          <w:p w:rsidR="007A6BE7" w:rsidRPr="00C21290" w:rsidP="00281C59">
            <w:pPr>
              <w:jc w:val="both"/>
              <w:rPr>
                <w:sz w:val="24"/>
                <w:szCs w:val="24"/>
                <w:lang w:eastAsia="en-US"/>
              </w:rPr>
            </w:pPr>
          </w:p>
          <w:p w:rsidR="007A6BE7" w:rsidRPr="00C21290" w:rsidP="00281C59">
            <w:pPr>
              <w:jc w:val="both"/>
              <w:rPr>
                <w:rStyle w:val="Balk3Char"/>
                <w:rFonts w:ascii="Times New Roman" w:hAnsi="Times New Roman" w:cs="Times New Roman"/>
                <w:b/>
                <w:i/>
                <w:lang w:eastAsia="en-US"/>
              </w:rPr>
            </w:pPr>
            <w:r w:rsidRPr="00C21290">
              <w:rPr>
                <w:b/>
                <w:i/>
                <w:sz w:val="24"/>
                <w:szCs w:val="24"/>
                <w:lang w:eastAsia="en-US"/>
              </w:rPr>
              <w:t>(Yapılan muayene sayılarına göre bakılacak, ilk verilişte aranmaz. Bakanlık bu konuda çalışma yapacak.)</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6.1.3</w:t>
              <w:tab/>
            </w:r>
            <w:r w:rsidRPr="00C21290">
              <w:rPr>
                <w:sz w:val="24"/>
                <w:szCs w:val="24"/>
                <w:lang w:eastAsia="en-US"/>
              </w:rPr>
              <w:t>Muayeneden sorumlu personel; gerçekleştirilecek olan muayenenin şartlarına uygun niteliklere, eğitime, tecrübeye ve yeterli seviyede bilgi birikimine sahip olmalıdır. Bu personel ayrıca; aşağıda belirtilenlerle ilgili bilgi birikimine sahip olmalıdır:</w:t>
            </w:r>
          </w:p>
          <w:p w:rsidR="007A6BE7" w:rsidRPr="00C21290" w:rsidP="00281C59">
            <w:pPr>
              <w:jc w:val="both"/>
              <w:rPr>
                <w:sz w:val="24"/>
                <w:szCs w:val="24"/>
                <w:lang w:eastAsia="en-US"/>
              </w:rPr>
            </w:pPr>
          </w:p>
          <w:p w:rsidR="007A6BE7" w:rsidRPr="00C21290" w:rsidP="00281C59">
            <w:pPr>
              <w:tabs>
                <w:tab w:val="left" w:pos="284"/>
              </w:tabs>
              <w:jc w:val="both"/>
              <w:rPr>
                <w:sz w:val="24"/>
                <w:szCs w:val="24"/>
                <w:lang w:eastAsia="en-US"/>
              </w:rPr>
            </w:pPr>
            <w:r w:rsidRPr="00C21290">
              <w:rPr>
                <w:sz w:val="24"/>
                <w:szCs w:val="24"/>
                <w:lang w:eastAsia="en-US"/>
              </w:rPr>
              <w:t>-</w:t>
              <w:tab/>
              <w:t xml:space="preserve">Muayene edilen ürünlerin üretimi, proseslerin işletimi ve hizmetlerin sağlanmasında kullanılan teknoloji, </w:t>
            </w:r>
          </w:p>
          <w:p w:rsidR="007A6BE7" w:rsidRPr="00C21290" w:rsidP="00281C59">
            <w:pPr>
              <w:tabs>
                <w:tab w:val="left" w:pos="284"/>
              </w:tabs>
              <w:jc w:val="both"/>
              <w:rPr>
                <w:sz w:val="24"/>
                <w:szCs w:val="24"/>
                <w:lang w:eastAsia="en-US"/>
              </w:rPr>
            </w:pPr>
            <w:r w:rsidRPr="00C21290">
              <w:rPr>
                <w:sz w:val="24"/>
                <w:szCs w:val="24"/>
                <w:lang w:eastAsia="en-US"/>
              </w:rPr>
              <w:t>-</w:t>
              <w:tab/>
              <w:t>Ürünlerin kullanım, proseslerin işletim ve hizmetlerin sağlanma şekli,</w:t>
            </w:r>
          </w:p>
          <w:p w:rsidR="007A6BE7" w:rsidRPr="00C21290" w:rsidP="00281C59">
            <w:pPr>
              <w:tabs>
                <w:tab w:val="left" w:pos="284"/>
              </w:tabs>
              <w:jc w:val="both"/>
              <w:rPr>
                <w:sz w:val="24"/>
                <w:szCs w:val="24"/>
                <w:lang w:eastAsia="en-US"/>
              </w:rPr>
            </w:pPr>
            <w:r w:rsidRPr="00C21290">
              <w:rPr>
                <w:sz w:val="24"/>
                <w:szCs w:val="24"/>
                <w:lang w:eastAsia="en-US"/>
              </w:rPr>
              <w:t>-</w:t>
              <w:tab/>
              <w:t>Ürünlerin kullanımı sırasında oluşabilecek her türlü kusurlar, proseslerin işletiminde oluşabilecek her türlü arızalar ve hizmetlerin sağlanmasında oluşabilecek her türlü eksiklikler.</w:t>
            </w:r>
          </w:p>
          <w:p w:rsidR="007A6BE7" w:rsidRPr="00C21290" w:rsidP="00281C59">
            <w:pPr>
              <w:tabs>
                <w:tab w:val="left" w:pos="284"/>
              </w:tabs>
              <w:jc w:val="both"/>
              <w:rPr>
                <w:sz w:val="24"/>
                <w:szCs w:val="24"/>
                <w:lang w:eastAsia="en-US"/>
              </w:rPr>
            </w:pPr>
          </w:p>
          <w:p w:rsidR="007A6BE7" w:rsidRPr="00C21290" w:rsidP="00281C59">
            <w:pPr>
              <w:tabs>
                <w:tab w:val="left" w:pos="284"/>
              </w:tabs>
              <w:jc w:val="both"/>
              <w:rPr>
                <w:sz w:val="24"/>
                <w:szCs w:val="24"/>
                <w:lang w:eastAsia="en-US"/>
              </w:rPr>
            </w:pPr>
            <w:r w:rsidRPr="00C21290">
              <w:rPr>
                <w:sz w:val="24"/>
                <w:szCs w:val="24"/>
                <w:lang w:eastAsia="en-US"/>
              </w:rPr>
              <w:t>Bu personel; ürünlerin normal kullanımı, proseslerin normal işletimi ve hizmetlerin normal sağlanması durumlarına kıyasla,  tespit edilen sapmaların önemini anlamalıdır.</w:t>
            </w:r>
          </w:p>
          <w:p w:rsidR="007A6BE7" w:rsidRPr="00C21290" w:rsidP="00281C59">
            <w:pPr>
              <w:tabs>
                <w:tab w:val="left" w:pos="284"/>
              </w:tabs>
              <w:jc w:val="both"/>
              <w:rPr>
                <w:rStyle w:val="Balk3Char"/>
                <w:rFonts w:ascii="Times New Roman" w:hAnsi="Times New Roman" w:cs="Times New Roman"/>
                <w:lang w:eastAsia="en-US"/>
              </w:rPr>
            </w:pP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6.1.4</w:t>
              <w:tab/>
            </w:r>
            <w:r w:rsidRPr="00C21290">
              <w:rPr>
                <w:sz w:val="24"/>
                <w:szCs w:val="24"/>
                <w:lang w:eastAsia="en-US"/>
              </w:rPr>
              <w:t>Muayene kuruluşu; her bir personele görev, sorumluluk ve yetkilerini açık bir şekilde belirtmelidir.</w:t>
            </w:r>
          </w:p>
          <w:p w:rsidR="007A6BE7" w:rsidRPr="00C21290" w:rsidP="00281C59">
            <w:pPr>
              <w:jc w:val="both"/>
              <w:rPr>
                <w:rStyle w:val="Balk3Char"/>
                <w:rFonts w:ascii="Times New Roman" w:hAnsi="Times New Roman" w:cs="Times New Roman"/>
                <w:lang w:eastAsia="en-US"/>
              </w:rPr>
            </w:pPr>
          </w:p>
          <w:p w:rsidR="007A6BE7" w:rsidRPr="00C21290" w:rsidP="00281C59">
            <w:pPr>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 Teknik personel, yetkili muayene servis belgesi ve personel yetki belgesi için verilen yetkiler dışında muayene ve damga yapamaz. (Madde 17/10))</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rStyle w:val="Balk3Char"/>
                <w:rFonts w:ascii="Times New Roman" w:hAnsi="Times New Roman" w:cs="Times New Roman"/>
                <w:lang w:eastAsia="en-US"/>
              </w:rPr>
            </w:pPr>
            <w:r w:rsidRPr="00C21290">
              <w:rPr>
                <w:b/>
                <w:sz w:val="24"/>
                <w:szCs w:val="24"/>
                <w:lang w:eastAsia="en-US"/>
              </w:rPr>
              <w:t>6.1.5</w:t>
              <w:tab/>
            </w:r>
            <w:r w:rsidRPr="00C21290">
              <w:rPr>
                <w:sz w:val="24"/>
                <w:szCs w:val="24"/>
                <w:lang w:eastAsia="en-US"/>
              </w:rPr>
              <w:t>Muayene kuruluşunun; muayene personelinin ve muayene faaliyetleri içerisinde yer alan diğer personelin seçimi, eğitimi, resmi olarak yetkilendirilmesi ve izlenmesine ilişkin dokümante edilmiş prosedürleri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6.1.6</w:t>
              <w:tab/>
            </w:r>
            <w:r w:rsidRPr="00C21290">
              <w:rPr>
                <w:sz w:val="24"/>
                <w:szCs w:val="24"/>
                <w:lang w:eastAsia="en-US"/>
              </w:rPr>
              <w:t>Eğitim için dokümante edilmiş olan prosedürler (bk. Madde 6.1.5), aşağıda belirtilen aşamaları ele almalıdır:</w:t>
            </w:r>
          </w:p>
          <w:p w:rsidR="007A6BE7" w:rsidRPr="00C21290" w:rsidP="00281C59">
            <w:pPr>
              <w:jc w:val="both"/>
              <w:rPr>
                <w:sz w:val="24"/>
                <w:szCs w:val="24"/>
                <w:lang w:eastAsia="en-US"/>
              </w:rPr>
            </w:pPr>
          </w:p>
          <w:p w:rsidR="007A6BE7" w:rsidRPr="00C21290" w:rsidP="00281C59">
            <w:pPr>
              <w:tabs>
                <w:tab w:val="left" w:pos="426"/>
              </w:tabs>
              <w:jc w:val="both"/>
              <w:rPr>
                <w:sz w:val="24"/>
                <w:szCs w:val="24"/>
                <w:lang w:eastAsia="en-US"/>
              </w:rPr>
            </w:pPr>
            <w:r w:rsidRPr="00C21290">
              <w:rPr>
                <w:sz w:val="24"/>
                <w:szCs w:val="24"/>
                <w:lang w:eastAsia="en-US"/>
              </w:rPr>
              <w:t>a)</w:t>
              <w:tab/>
              <w:t>Göreve başlatma dönemi,</w:t>
            </w:r>
          </w:p>
          <w:p w:rsidR="007A6BE7" w:rsidRPr="00C21290" w:rsidP="00281C59">
            <w:pPr>
              <w:tabs>
                <w:tab w:val="left" w:pos="426"/>
              </w:tabs>
              <w:jc w:val="both"/>
              <w:rPr>
                <w:sz w:val="24"/>
                <w:szCs w:val="24"/>
                <w:lang w:eastAsia="en-US"/>
              </w:rPr>
            </w:pPr>
            <w:r w:rsidRPr="00C21290">
              <w:rPr>
                <w:sz w:val="24"/>
                <w:szCs w:val="24"/>
                <w:lang w:eastAsia="en-US"/>
              </w:rPr>
              <w:t>b)</w:t>
              <w:tab/>
              <w:t>Tecrübeli muayene personelinin yönlendirmesi altında çalışma dönemi,</w:t>
            </w:r>
          </w:p>
          <w:p w:rsidR="007A6BE7" w:rsidRPr="00C21290" w:rsidP="00281C59">
            <w:pPr>
              <w:tabs>
                <w:tab w:val="left" w:pos="426"/>
              </w:tabs>
              <w:jc w:val="both"/>
              <w:rPr>
                <w:rStyle w:val="Balk3Char"/>
                <w:rFonts w:ascii="Times New Roman" w:hAnsi="Times New Roman" w:cs="Times New Roman"/>
                <w:lang w:eastAsia="en-US"/>
              </w:rPr>
            </w:pPr>
            <w:r w:rsidRPr="00C21290">
              <w:rPr>
                <w:sz w:val="24"/>
                <w:szCs w:val="24"/>
                <w:lang w:eastAsia="en-US"/>
              </w:rPr>
              <w:t>c)</w:t>
              <w:tab/>
              <w:t xml:space="preserve">Gelişen teknoloji ve muayene yöntemlerinin takip edilmesi için sürekli eğitim.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rStyle w:val="Balk3Char"/>
                <w:rFonts w:ascii="Times New Roman" w:hAnsi="Times New Roman" w:cs="Times New Roman"/>
                <w:lang w:eastAsia="en-US"/>
              </w:rPr>
            </w:pPr>
            <w:r w:rsidRPr="00C21290">
              <w:rPr>
                <w:b/>
                <w:sz w:val="24"/>
                <w:szCs w:val="24"/>
                <w:lang w:eastAsia="en-US"/>
              </w:rPr>
              <w:t>6.1.7</w:t>
            </w:r>
            <w:r w:rsidRPr="00C21290">
              <w:rPr>
                <w:sz w:val="24"/>
                <w:szCs w:val="24"/>
                <w:lang w:eastAsia="en-US"/>
              </w:rPr>
              <w:tab/>
              <w:t>Gerekli eğitim; her bir muayene personelinin ve muayene faaliyetlerinde yer alan diğer personelin yeteneklerine, niteliklerine, tecrübelerine ve izleme (bk. Madde 6.1.8) sonuçlarına bağlı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6.1.8</w:t>
            </w:r>
            <w:r w:rsidRPr="00C21290">
              <w:rPr>
                <w:sz w:val="24"/>
                <w:szCs w:val="24"/>
                <w:lang w:eastAsia="en-US"/>
              </w:rPr>
              <w:tab/>
              <w:t>Muayene yöntemleri ve prosedürlerine hâkim personel, muayene personelini ve muayene faaliyetlerinde yer alan diğer personeli performans yeterliliği açısından izlemelidir. İzleme sonuçları, eğitim ihtiyaçlarının (bk. Madde 6.1.7) belirlenmesinde bir araç olarak kullanılmalıdır.</w:t>
            </w:r>
          </w:p>
          <w:p w:rsidR="007A6BE7" w:rsidRPr="00C21290" w:rsidP="00281C59">
            <w:pPr>
              <w:ind w:left="567" w:hanging="567"/>
              <w:jc w:val="both"/>
              <w:rPr>
                <w:rStyle w:val="Balk3Char"/>
                <w:rFonts w:ascii="Times New Roman" w:hAnsi="Times New Roman" w:cs="Times New Roman"/>
                <w:lang w:eastAsia="en-US"/>
              </w:rPr>
            </w:pPr>
            <w:r w:rsidRPr="00C21290">
              <w:rPr>
                <w:b/>
                <w:sz w:val="24"/>
                <w:szCs w:val="24"/>
                <w:lang w:eastAsia="en-US"/>
              </w:rPr>
              <w:t>Not -</w:t>
            </w:r>
            <w:r w:rsidRPr="00C21290">
              <w:rPr>
                <w:sz w:val="24"/>
                <w:szCs w:val="24"/>
                <w:lang w:eastAsia="en-US"/>
              </w:rPr>
              <w:tab/>
              <w:t xml:space="preserve">İzleme; saha gözlemleri, raporların gözden geçirilmesi, mülakatlar, muayene simülasyonları ve performansın değerlendirilmesi amaçlı diğer tekniklerin bir kombinasyonunu içerebilir ve muayene faaliyetlerinin yapısına bağlıdır.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6.1.9</w:t>
            </w:r>
            <w:r w:rsidRPr="00C21290">
              <w:rPr>
                <w:sz w:val="24"/>
                <w:szCs w:val="24"/>
                <w:lang w:eastAsia="en-US"/>
              </w:rPr>
              <w:tab/>
              <w:t>Muayene personelinin yeterli seviyede performans göstermeye devam ettiğine ilişkin yeteri kadar destekleyici bulgu olmadıkça tüm muayene personeli, saha gözlemine tabi tutulmalıdır.</w:t>
            </w:r>
          </w:p>
          <w:p w:rsidR="007A6BE7" w:rsidRPr="00C21290" w:rsidP="00281C59">
            <w:pPr>
              <w:jc w:val="both"/>
              <w:rPr>
                <w:sz w:val="24"/>
                <w:szCs w:val="24"/>
                <w:lang w:eastAsia="en-US"/>
              </w:rPr>
            </w:pPr>
          </w:p>
          <w:p w:rsidR="007A6BE7" w:rsidRPr="00C21290" w:rsidP="00281C59">
            <w:pPr>
              <w:jc w:val="both"/>
              <w:rPr>
                <w:sz w:val="24"/>
                <w:szCs w:val="24"/>
                <w:lang w:eastAsia="en-US"/>
              </w:rPr>
            </w:pPr>
            <w:r w:rsidRPr="00C21290">
              <w:rPr>
                <w:b/>
                <w:sz w:val="24"/>
                <w:szCs w:val="24"/>
                <w:lang w:eastAsia="en-US"/>
              </w:rPr>
              <w:t>Not -</w:t>
            </w:r>
            <w:r w:rsidRPr="00C21290">
              <w:rPr>
                <w:sz w:val="24"/>
                <w:szCs w:val="24"/>
                <w:lang w:eastAsia="en-US"/>
              </w:rPr>
              <w:tab/>
              <w:t>Saha gözlemlerinin; bu gözlemlerin muayeneler üzerinde yol açabileceği düzensizliğin, özellikle müşteriler bakımından en az olacağı şekilde gerçekleştirilmesi beklenir.</w:t>
            </w:r>
          </w:p>
          <w:p w:rsidR="007A6BE7" w:rsidRPr="00C21290" w:rsidP="00281C59">
            <w:pPr>
              <w:jc w:val="both"/>
              <w:rPr>
                <w:sz w:val="24"/>
                <w:szCs w:val="24"/>
                <w:lang w:eastAsia="en-US"/>
              </w:rPr>
            </w:pPr>
          </w:p>
          <w:p w:rsidR="007A6BE7" w:rsidRPr="00C21290" w:rsidP="00281C59">
            <w:pPr>
              <w:jc w:val="both"/>
              <w:rPr>
                <w:rStyle w:val="Balk3Char"/>
                <w:rFonts w:ascii="Times New Roman" w:hAnsi="Times New Roman" w:cs="Times New Roman"/>
                <w:b/>
                <w:i/>
                <w:lang w:eastAsia="en-US"/>
              </w:rPr>
            </w:pPr>
            <w:r w:rsidRPr="00C21290">
              <w:rPr>
                <w:b/>
                <w:i/>
                <w:sz w:val="24"/>
                <w:szCs w:val="24"/>
                <w:lang w:eastAsia="en-US"/>
              </w:rPr>
              <w:t>(- Teknik personel, yetki kapsamında bulunan tartı aletlerinin muayene işlemleri ile ilgili yeterli bilgi sahibi olmalıdır. Gerektiği zaman denetçiler önünde tartı aleti muayenesini uygulamalı olarak gösterebilmelidir.)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rStyle w:val="Balk3Char"/>
                <w:rFonts w:ascii="Times New Roman" w:hAnsi="Times New Roman" w:cs="Times New Roman"/>
                <w:lang w:eastAsia="en-US"/>
              </w:rPr>
            </w:pPr>
            <w:r w:rsidRPr="00C21290">
              <w:rPr>
                <w:b/>
                <w:sz w:val="24"/>
                <w:szCs w:val="24"/>
                <w:lang w:eastAsia="en-US"/>
              </w:rPr>
              <w:t>6.1.10</w:t>
              <w:tab/>
            </w:r>
            <w:r w:rsidRPr="00C21290">
              <w:rPr>
                <w:sz w:val="24"/>
                <w:szCs w:val="24"/>
                <w:lang w:eastAsia="en-US"/>
              </w:rPr>
              <w:t>Muayene kuruluşu; muayene faaliyetlerinde yer alan personelinin her birinin izleme, öğrenim, eğitim, teknik bilgi birikimi, beceri, tecrübe ve yetkilendirme kayıtlarını muhafaza etmelidir.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6.1.11</w:t>
              <w:tab/>
            </w:r>
            <w:r w:rsidRPr="00C21290">
              <w:rPr>
                <w:sz w:val="24"/>
                <w:szCs w:val="24"/>
                <w:lang w:eastAsia="en-US"/>
              </w:rPr>
              <w:t>Muayene faaliyetlerinde yer alan personel, muayenelerin sonuçlarını etkileyecek şekilde ücretlendirilmemelidir.</w:t>
            </w:r>
          </w:p>
          <w:p w:rsidR="007A6BE7" w:rsidRPr="00C21290" w:rsidP="00281C59">
            <w:pPr>
              <w:jc w:val="both"/>
              <w:rPr>
                <w:sz w:val="24"/>
                <w:szCs w:val="24"/>
                <w:lang w:eastAsia="en-US"/>
              </w:rPr>
            </w:pPr>
          </w:p>
          <w:p w:rsidR="007A6BE7" w:rsidRPr="00C21290" w:rsidP="00281C59">
            <w:pPr>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 Personel ücretlendirmesi, yapılan muayene sayısı üzerinden olmamalıdır.)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6.1.12</w:t>
              <w:tab/>
            </w:r>
            <w:r w:rsidRPr="00C21290">
              <w:rPr>
                <w:sz w:val="24"/>
                <w:szCs w:val="24"/>
                <w:lang w:eastAsia="en-US"/>
              </w:rPr>
              <w:t>Muayene kuruluşunun, muayene faaliyetlerini etkileyebilecek kuruluş içi veya dışı tüm personeli tarafsız davranmalıdır.</w:t>
            </w:r>
          </w:p>
          <w:p w:rsidR="007A6BE7" w:rsidRPr="00C21290" w:rsidP="00281C59">
            <w:pPr>
              <w:jc w:val="both"/>
              <w:rPr>
                <w:sz w:val="24"/>
                <w:szCs w:val="24"/>
                <w:lang w:eastAsia="en-US"/>
              </w:rPr>
            </w:pPr>
          </w:p>
          <w:p w:rsidR="007A6BE7" w:rsidRPr="00C21290" w:rsidP="00281C59">
            <w:pPr>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(Yetkili muayene servisleri, muayene hizmeti sunacağı tartı aleti üreticisi ile ticari bağı olmayan üçüncü bir taraf niteliğinde olmak zorundadır. Periyodik veya stok muayenesini yaptıkları tartı aletinin tasarımı, imalatı, bir araya getirilmesi, uygunluk değerlendirmesi, tamir veya bakımında yer almaması gerekmektedir. (Madde 17/6))</w:t>
            </w:r>
          </w:p>
          <w:p w:rsidR="007A6BE7" w:rsidRPr="00C21290" w:rsidP="00281C59">
            <w:pPr>
              <w:jc w:val="both"/>
              <w:rPr>
                <w:rStyle w:val="Balk3Char"/>
                <w:rFonts w:ascii="Times New Roman" w:hAnsi="Times New Roman" w:cs="Times New Roman"/>
                <w:lang w:eastAsia="en-US"/>
              </w:rPr>
            </w:pP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6.1.13</w:t>
              <w:tab/>
            </w:r>
            <w:r w:rsidRPr="00C21290">
              <w:rPr>
                <w:sz w:val="24"/>
                <w:szCs w:val="24"/>
                <w:lang w:eastAsia="en-US"/>
              </w:rPr>
              <w:t>Yasal açıdan zorunlu olmadıkça; taşeronlar, dış kuruluşların personeli ve muayene kuruluşu adına hareket eden kişiler dâhil tüm muayene kuruluşu personeli, muayene faaliyetlerinin gerçekleştirilmesi sırasında elde edilen veya oluşturulan tüm bilgileri gizli tutmalıdır.</w:t>
            </w:r>
          </w:p>
          <w:p w:rsidR="007A6BE7" w:rsidRPr="00C21290" w:rsidP="00281C59">
            <w:pPr>
              <w:jc w:val="both"/>
              <w:rPr>
                <w:sz w:val="24"/>
                <w:szCs w:val="24"/>
                <w:lang w:eastAsia="en-US"/>
              </w:rPr>
            </w:pPr>
          </w:p>
          <w:p w:rsidR="007A6BE7" w:rsidRPr="00C21290" w:rsidP="00281C59">
            <w:pPr>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(Yetkili muayene servisleri, yetkili oldukları tartı aletlerine ilişkin yapılan müracaatları yıl içerisinde sonuçlandırmak zorundadır. Yetkili muayene servisleri almış olduğu başvuruları kendisi gerçekleştirmelidir. Alınan müracaatların bir bölümü veya tamamı başka bir yetkili muayene servisine devredilemez. (Madde 17/1))</w:t>
            </w:r>
          </w:p>
          <w:p w:rsidR="007A6BE7" w:rsidRPr="00C21290" w:rsidP="00281C59">
            <w:pPr>
              <w:jc w:val="both"/>
              <w:rPr>
                <w:rStyle w:val="Balk3Char"/>
                <w:rFonts w:ascii="Times New Roman" w:hAnsi="Times New Roman" w:cs="Times New Roman"/>
                <w:b/>
                <w:lang w:eastAsia="en-US"/>
              </w:rPr>
            </w:pP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pStyle w:val="Heading2"/>
              <w:outlineLvl w:val="1"/>
              <w:rPr>
                <w:rStyle w:val="Balk3Char"/>
                <w:rFonts w:ascii="Times New Roman" w:eastAsia="SimSun" w:hAnsi="Times New Roman" w:cs="Times New Roman"/>
              </w:rPr>
            </w:pPr>
            <w:bookmarkStart w:id="2" w:name="_Toc356382486"/>
            <w:r w:rsidRPr="00C21290">
              <w:rPr>
                <w:rFonts w:ascii="Times New Roman" w:hAnsi="Times New Roman" w:cs="Times New Roman"/>
                <w:szCs w:val="24"/>
              </w:rPr>
              <w:t>6.2</w:t>
              <w:tab/>
              <w:t>Tesisler ve donanım</w:t>
            </w:r>
            <w:bookmarkEnd w:id="2"/>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rPr>
              <w:t>6.2.1</w:t>
            </w:r>
            <w:r w:rsidRPr="00C21290">
              <w:rPr>
                <w:sz w:val="24"/>
                <w:szCs w:val="24"/>
                <w:lang w:eastAsia="en-US"/>
              </w:rPr>
              <w:tab/>
              <w:t>Muayene kuruluşu; gerçekleştirilecek olan muayene hizmetlerine ilişkin tüm faaliyetlerin yeterli ve güvenli bir şekilde gerçekleştirilmesini sağlayacak şekilde kullanıma hazır, uygun ve yeterli tesislere ve donanıma sahip olmalıdır.</w:t>
            </w:r>
          </w:p>
          <w:p w:rsidR="007A6BE7" w:rsidRPr="00C21290" w:rsidP="00281C59">
            <w:pPr>
              <w:tabs>
                <w:tab w:val="left" w:pos="567"/>
              </w:tabs>
              <w:jc w:val="both"/>
              <w:rPr>
                <w:sz w:val="24"/>
                <w:szCs w:val="24"/>
                <w:lang w:eastAsia="en-US"/>
              </w:rPr>
            </w:pPr>
          </w:p>
          <w:p w:rsidR="007A6BE7" w:rsidRPr="00C21290" w:rsidP="00281C59">
            <w:pPr>
              <w:tabs>
                <w:tab w:val="left" w:pos="567"/>
              </w:tabs>
              <w:ind w:left="567" w:hanging="567"/>
              <w:jc w:val="both"/>
              <w:rPr>
                <w:sz w:val="24"/>
                <w:szCs w:val="24"/>
                <w:lang w:eastAsia="en-US"/>
              </w:rPr>
            </w:pPr>
            <w:r w:rsidRPr="00C21290">
              <w:rPr>
                <w:b/>
                <w:sz w:val="24"/>
                <w:szCs w:val="24"/>
                <w:lang w:eastAsia="en-US"/>
              </w:rPr>
              <w:t>Not -</w:t>
            </w:r>
            <w:r w:rsidRPr="00C21290">
              <w:rPr>
                <w:sz w:val="24"/>
                <w:szCs w:val="24"/>
                <w:lang w:eastAsia="en-US"/>
              </w:rPr>
              <w:tab/>
              <w:t>Muayene kuruluşunun, kullandığı tesislerin ve donanımın sahibi olması şart değildir. Tesisler ve donanım; ödünç alınabilir, kısa ya da uzun dönemli kiralanabilir, finansal kiralama yapılabilir veya diğer bir tarafça (örnek olarak, donanımın üreticisi veya kurulumunu yapan) sağlanmış olabilir. Bununla birlikte, muayene kuruluşuna ait olsun veya olmasın, muayenede kullanılan donanımın uygunluğu ve kalibrasyon durumuna ilişkin sorumluluk tamamen muayene kuruluşuna aittir.</w:t>
            </w:r>
          </w:p>
          <w:p w:rsidR="007A6BE7" w:rsidRPr="00C21290" w:rsidP="00281C59">
            <w:pPr>
              <w:tabs>
                <w:tab w:val="left" w:pos="567"/>
              </w:tabs>
              <w:ind w:left="567" w:hanging="567"/>
              <w:jc w:val="both"/>
              <w:rPr>
                <w:rStyle w:val="Balk3Char"/>
                <w:rFonts w:ascii="Times New Roman" w:hAnsi="Times New Roman" w:cs="Times New Roman"/>
                <w:lang w:eastAsia="en-US"/>
              </w:rPr>
            </w:pPr>
          </w:p>
          <w:p w:rsidR="007A6BE7" w:rsidRPr="00C21290" w:rsidP="00281C59">
            <w:pPr>
              <w:tabs>
                <w:tab w:val="left" w:pos="1026"/>
              </w:tabs>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(Serviste hizmet verilen her kategori ve sınıftaki tartı aleti için yeterli miktarda kütle etalonu ve diğer muayene alet ve cihazları bulundurulmalı, bunlar özelliklerine göre uygun şekilde kodlanmalı, raf veya dolaplarda teknik düzenlemesine uygun olarak ayrı ayrı muhafaza edilmelidir.</w:t>
            </w:r>
          </w:p>
          <w:p w:rsidR="007A6BE7" w:rsidRPr="00C21290" w:rsidP="00281C59">
            <w:pPr>
              <w:tabs>
                <w:tab w:val="left" w:pos="1026"/>
              </w:tabs>
              <w:jc w:val="both"/>
              <w:rPr>
                <w:rStyle w:val="Balk3Char"/>
                <w:rFonts w:ascii="Times New Roman" w:hAnsi="Times New Roman" w:cs="Times New Roman"/>
                <w:i/>
                <w:lang w:eastAsia="en-US"/>
              </w:rPr>
            </w:pP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Otomatik Olmayan Tartı Aletleri</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a)</w:t>
              <w:tab/>
              <w:t>Kapasitesi 1 tona kadar (bir ton dahil) olan tartı aletleri için, maksimum kapasitesi kadar standart kütle etalonu,</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b)</w:t>
              <w:tab/>
              <w:t>Kapasitesi 1 tondan büyük olan tartı aletleri için, muayenede yeterli olacak standart kütle etalonu (Sözleşme yapılmak suretiyle de kiralanabilir),</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c)</w:t>
              <w:tab/>
              <w:t>I. sınıf otomatik olmayan tartı aletleri için E2 veya F1 sınıfı standart kütle etalonu,</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d)</w:t>
              <w:tab/>
              <w:t>II. sınıf otomatik olmayan tartı aletleri için en az F2 sınıfı standart kütle etalonu,</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e)</w:t>
              <w:tab/>
              <w:t>III. sınıf otomatik olmayan tartı aletleri için en az M1 sınıfı standart kütle etalonu,</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f)</w:t>
              <w:tab/>
              <w:t>IIII. sınıf otomatik olmayan tartı aletleri için en az M3 sınıfı standart kütle etalonu,</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g)</w:t>
              <w:tab/>
              <w:t>Etalonların taşınması, indirilmesi için uygun nitelikte vinç tertibatlı kamyon veya forklift (Sözleşme yapılmak suretiyle de kiralanabilir.).</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Otomatik Kütle Belirleme Terazileri</w:t>
            </w:r>
          </w:p>
          <w:p w:rsidR="007A6BE7" w:rsidRPr="00C21290" w:rsidP="00281C59">
            <w:pPr>
              <w:tabs>
                <w:tab w:val="left" w:pos="1310"/>
              </w:tabs>
              <w:ind w:left="34" w:hanging="34"/>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 xml:space="preserve">    Kontrol Terazisinin hatası, Maksimum İzin verilebilir Hata (MİH) değerinin 1/3’ünden büyük olmamalıdır. (OIML R51)</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Otomatik Gravimetrik Dolum Terazileri</w:t>
            </w:r>
          </w:p>
          <w:p w:rsidR="007A6BE7" w:rsidRPr="00C21290" w:rsidP="00281C59">
            <w:pPr>
              <w:tabs>
                <w:tab w:val="left" w:pos="743"/>
              </w:tabs>
              <w:ind w:left="34" w:hanging="34"/>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 xml:space="preserve">    Kontrol Terazisinin hatası, Maksimum İzin verilebilir Sapma (MİS) değerinin 1/3’ünden büyük olmamalıdır. (OIML R61)</w:t>
            </w:r>
          </w:p>
          <w:p w:rsidR="007A6BE7" w:rsidRPr="00C21290" w:rsidP="00281C59">
            <w:pPr>
              <w:tabs>
                <w:tab w:val="left" w:pos="567"/>
              </w:tabs>
              <w:ind w:left="567" w:hanging="567"/>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Sürekli Toplayıcılar - Kesintili Toplayıcılar</w:t>
            </w:r>
          </w:p>
          <w:p w:rsidR="007A6BE7" w:rsidRPr="00C21290" w:rsidP="00281C59">
            <w:pPr>
              <w:tabs>
                <w:tab w:val="left" w:pos="743"/>
              </w:tabs>
              <w:ind w:left="34" w:hanging="34"/>
              <w:jc w:val="both"/>
              <w:rPr>
                <w:rStyle w:val="Balk3Char"/>
                <w:rFonts w:ascii="Times New Roman" w:hAnsi="Times New Roman" w:cs="Times New Roman"/>
                <w:lang w:eastAsia="en-US"/>
              </w:rPr>
            </w:pPr>
            <w:r w:rsidRPr="00C21290">
              <w:rPr>
                <w:rStyle w:val="Balk3Char"/>
                <w:rFonts w:ascii="Times New Roman" w:hAnsi="Times New Roman" w:cs="Times New Roman"/>
                <w:b/>
                <w:i/>
                <w:lang w:eastAsia="en-US"/>
              </w:rPr>
              <w:t xml:space="preserve">   Kontrol Terazisinin hatası, eğer muayeneden hemen önce kontrol edilmişse Maksimum İzin verilebilir Hata (MİH) değerinin 1/3’ünden, eğer önceki bir zamanda kontrol edilmişse Maksimum İzin verilebilir Hata (MİH) değerinin 1/5’inden büyük olmamalıdır. (OIML R 107, 6.2) (OIML R 106))</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rStyle w:val="Balk3Char"/>
                <w:rFonts w:ascii="Times New Roman" w:hAnsi="Times New Roman" w:cs="Times New Roman"/>
                <w:lang w:eastAsia="en-US"/>
              </w:rPr>
            </w:pPr>
            <w:r w:rsidRPr="00C21290">
              <w:rPr>
                <w:b/>
                <w:sz w:val="24"/>
                <w:szCs w:val="24"/>
              </w:rPr>
              <w:t>6.2.2</w:t>
            </w:r>
            <w:r w:rsidRPr="00C21290">
              <w:rPr>
                <w:sz w:val="24"/>
                <w:szCs w:val="24"/>
                <w:lang w:eastAsia="en-US"/>
              </w:rPr>
              <w:tab/>
              <w:t xml:space="preserve">Muayene kuruluşunun, muayenelerin gerçekleştirileceği belirtilen tesislere ve donanıma erişim ve bunların kullanımı için kuralları olmalıdır.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rStyle w:val="Balk3Char"/>
                <w:rFonts w:ascii="Times New Roman" w:hAnsi="Times New Roman" w:cs="Times New Roman"/>
                <w:lang w:eastAsia="en-US"/>
              </w:rPr>
            </w:pPr>
            <w:r w:rsidRPr="00C21290">
              <w:rPr>
                <w:b/>
                <w:sz w:val="24"/>
                <w:szCs w:val="24"/>
              </w:rPr>
              <w:t>6.2.3</w:t>
            </w:r>
            <w:r w:rsidRPr="00C21290">
              <w:rPr>
                <w:sz w:val="24"/>
                <w:szCs w:val="24"/>
                <w:lang w:eastAsia="en-US"/>
              </w:rPr>
              <w:tab/>
              <w:t xml:space="preserve">Muayene kuruluşu Madde 6.2.1’de belirtilen tesislerin ve donanımın, kullanım amaçları bakımından sürekli uygunluğunu sağlamalıdır.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rStyle w:val="Balk3Char"/>
                <w:rFonts w:ascii="Times New Roman" w:hAnsi="Times New Roman" w:cs="Times New Roman"/>
                <w:lang w:eastAsia="en-US"/>
              </w:rPr>
            </w:pPr>
            <w:r w:rsidRPr="00C21290">
              <w:rPr>
                <w:b/>
                <w:sz w:val="24"/>
                <w:szCs w:val="24"/>
              </w:rPr>
              <w:t>6.2.4</w:t>
            </w:r>
            <w:r w:rsidRPr="00C21290">
              <w:rPr>
                <w:sz w:val="24"/>
                <w:szCs w:val="24"/>
                <w:lang w:eastAsia="en-US"/>
              </w:rPr>
              <w:tab/>
              <w:t>Muayene sonuçları üzerinde önemli etkisi olan tüm donanım belirlenmeli ve uygun olduğunda donanıma özgü tanımlama yapılmalıdır.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rStyle w:val="Balk3Char"/>
                <w:rFonts w:ascii="Times New Roman" w:hAnsi="Times New Roman" w:cs="Times New Roman"/>
                <w:lang w:eastAsia="en-US"/>
              </w:rPr>
            </w:pPr>
            <w:r w:rsidRPr="00C21290">
              <w:rPr>
                <w:b/>
                <w:sz w:val="24"/>
                <w:szCs w:val="24"/>
              </w:rPr>
              <w:t>6.2.5</w:t>
            </w:r>
            <w:r w:rsidRPr="00C21290">
              <w:rPr>
                <w:sz w:val="24"/>
                <w:szCs w:val="24"/>
                <w:lang w:eastAsia="en-US"/>
              </w:rPr>
              <w:tab/>
              <w:t xml:space="preserve">Tüm donanımın (bk. Madde 6.2.4), dokümante edilmiş prosedürler ve talimatlara göre bakımı yapılmalıdır.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rStyle w:val="Balk3Char"/>
                <w:rFonts w:ascii="Times New Roman" w:hAnsi="Times New Roman" w:cs="Times New Roman"/>
                <w:color w:val="FF0000"/>
                <w:lang w:eastAsia="en-US"/>
              </w:rPr>
            </w:pPr>
            <w:r w:rsidRPr="00C21290">
              <w:rPr>
                <w:b/>
                <w:sz w:val="24"/>
                <w:szCs w:val="24"/>
              </w:rPr>
              <w:t>6.2.6</w:t>
            </w:r>
            <w:r w:rsidRPr="00C21290">
              <w:rPr>
                <w:sz w:val="24"/>
                <w:szCs w:val="24"/>
                <w:lang w:eastAsia="en-US"/>
              </w:rPr>
              <w:tab/>
              <w:t>Uygun olduğunda, muayene sonuçları üzerinde önemli bir etkisi olan ölçüm donanımının kullanıma alınmadan önce kalibrasyonları yapılmalı ve sonrasında, oluşturulan bir programa göre bu kalibrasyonlar sürdürülmelidir.</w:t>
            </w:r>
            <w:r w:rsidRPr="00C21290">
              <w:rPr>
                <w:rStyle w:val="Balk3Char"/>
                <w:rFonts w:ascii="Times New Roman" w:hAnsi="Times New Roman" w:cs="Times New Roman"/>
                <w:color w:val="FF0000"/>
                <w:lang w:eastAsia="en-US"/>
              </w:rPr>
              <w:t xml:space="preserve"> </w:t>
            </w:r>
          </w:p>
          <w:p w:rsidR="007A6BE7" w:rsidRPr="00C21290" w:rsidP="00281C59">
            <w:pPr>
              <w:tabs>
                <w:tab w:val="left" w:pos="567"/>
              </w:tabs>
              <w:jc w:val="both"/>
              <w:rPr>
                <w:rStyle w:val="Balk3Char"/>
                <w:rFonts w:ascii="Times New Roman" w:hAnsi="Times New Roman" w:cs="Times New Roman"/>
                <w:color w:val="FF0000"/>
                <w:lang w:eastAsia="en-US"/>
              </w:rPr>
            </w:pPr>
          </w:p>
          <w:p w:rsidR="007A6BE7" w:rsidRPr="00C21290" w:rsidP="00281C59">
            <w:pPr>
              <w:tabs>
                <w:tab w:val="left" w:pos="567"/>
              </w:tabs>
              <w:jc w:val="both"/>
              <w:rPr>
                <w:rStyle w:val="Balk3Char"/>
                <w:rFonts w:ascii="Times New Roman" w:hAnsi="Times New Roman" w:cs="Times New Roman"/>
                <w:b/>
                <w:i/>
                <w:lang w:eastAsia="en-US"/>
              </w:rPr>
            </w:pPr>
            <w:r w:rsidRPr="00C21290">
              <w:rPr>
                <w:rStyle w:val="Balk3Char"/>
                <w:rFonts w:ascii="Times New Roman" w:hAnsi="Times New Roman" w:cs="Times New Roman"/>
                <w:b/>
                <w:i/>
                <w:lang w:eastAsia="en-US"/>
              </w:rPr>
              <w:t>(Tartı aletinin muayenesinde yetkili muayene servislerince kullanılacak olan etalonların en fazla 2 yıl süreli olacak şekilde akredite laboratuvarlarca kalibrasyonları yaptırılır. Kalibrasyon süresi içerisinde kalibrasyonu yapılmayan etalonlar, kalibrasyonları yapılıncaya kadar kullanılamaz. (Yönetmelik Madde 5/8))</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rStyle w:val="Balk3Char"/>
                <w:rFonts w:ascii="Times New Roman" w:hAnsi="Times New Roman" w:cs="Times New Roman"/>
                <w:lang w:eastAsia="en-US"/>
              </w:rPr>
            </w:pPr>
            <w:r w:rsidRPr="00C21290">
              <w:rPr>
                <w:b/>
                <w:sz w:val="24"/>
                <w:szCs w:val="24"/>
              </w:rPr>
              <w:t>6.2.7</w:t>
            </w:r>
            <w:r w:rsidRPr="00C21290">
              <w:rPr>
                <w:sz w:val="24"/>
                <w:szCs w:val="24"/>
                <w:lang w:eastAsia="en-US"/>
              </w:rPr>
              <w:tab/>
              <w:t>Donanımın genel kalibrasyon programı; uygulanabilir olduğu ölçüde, muayene kuruluşu tarafından yapılan ölçümlerin, mevcut ulusal veya uluslararası ölçme standartlarına izlenebilir olmasını sağlayacak bir şekilde tasarlanmalı ve işletilmelidir. Ulusal veya uluslararası ölçüm standartlarına göre izlenebilirliğin sağlanması mümkün olmadığında muayene kuruluşu, muayene sonuçlarının korelasyonu veya doğruluğuna ait kanıtları muhafaza etmelidir.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rStyle w:val="Balk3Char"/>
                <w:rFonts w:ascii="Times New Roman" w:hAnsi="Times New Roman" w:cs="Times New Roman"/>
                <w:lang w:eastAsia="en-US"/>
              </w:rPr>
            </w:pPr>
            <w:r w:rsidRPr="00C21290">
              <w:rPr>
                <w:b/>
                <w:sz w:val="24"/>
                <w:szCs w:val="24"/>
              </w:rPr>
              <w:t>6.2.8</w:t>
              <w:tab/>
            </w:r>
            <w:r w:rsidRPr="00C21290">
              <w:rPr>
                <w:sz w:val="24"/>
                <w:szCs w:val="24"/>
                <w:lang w:eastAsia="en-US"/>
              </w:rPr>
              <w:t>Muayene kuruluşunun elinde bulunan referans ölçüm standartları, kalibrasyon dışında başka bir amaçla kullanılmamalıdır. Referans ölçüm standartları, ulusal veya uluslararası bir ölçüm standardına göre izlenebilirliğin sağlanacağı şekilde kalibrasyona tabi tutulmalıdır.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rPr>
              <w:t>6.2.9</w:t>
              <w:tab/>
            </w:r>
            <w:r w:rsidRPr="00C21290">
              <w:rPr>
                <w:sz w:val="24"/>
                <w:szCs w:val="24"/>
                <w:lang w:eastAsia="en-US"/>
              </w:rPr>
              <w:t>Uygun olduğunda donanım; düzenli yeniden kalibrasyonlar arasında, kullanım sırasında ara kontrollere tabi tutulmalıdır.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rPr>
              <w:t>6.2.10</w:t>
              <w:tab/>
            </w:r>
            <w:r w:rsidRPr="00C21290">
              <w:rPr>
                <w:sz w:val="24"/>
                <w:szCs w:val="24"/>
                <w:lang w:eastAsia="en-US"/>
              </w:rPr>
              <w:t>Referans malzemeler; mümkün olduğunda, mevcut ulusal ve uluslararası referans malzemelere izlenebilir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rPr>
              <w:t>6.2.11</w:t>
              <w:tab/>
            </w:r>
            <w:r w:rsidRPr="00C21290">
              <w:rPr>
                <w:sz w:val="24"/>
                <w:szCs w:val="24"/>
                <w:lang w:eastAsia="en-US"/>
              </w:rPr>
              <w:t>Muayene faaliyetlerinin sonuçları ile ilgili olduğunda, muayene kuruluşunun;</w:t>
            </w:r>
          </w:p>
          <w:p w:rsidR="007A6BE7" w:rsidRPr="00C21290" w:rsidP="00281C59">
            <w:pPr>
              <w:tabs>
                <w:tab w:val="left" w:pos="567"/>
              </w:tabs>
              <w:jc w:val="both"/>
              <w:rPr>
                <w:sz w:val="24"/>
                <w:szCs w:val="24"/>
                <w:lang w:eastAsia="en-US"/>
              </w:rPr>
            </w:pPr>
          </w:p>
          <w:p w:rsidR="007A6BE7" w:rsidRPr="00C21290" w:rsidP="000021B1">
            <w:pPr>
              <w:numPr>
                <w:ilvl w:val="0"/>
                <w:numId w:val="28"/>
              </w:numPr>
              <w:ind w:left="357" w:hanging="357"/>
              <w:jc w:val="both"/>
              <w:rPr>
                <w:sz w:val="24"/>
                <w:szCs w:val="24"/>
                <w:lang w:eastAsia="en-US"/>
              </w:rPr>
            </w:pPr>
            <w:r w:rsidRPr="00C21290">
              <w:rPr>
                <w:sz w:val="24"/>
                <w:szCs w:val="24"/>
                <w:lang w:eastAsia="en-US"/>
              </w:rPr>
              <w:t>Tedarikçilerin seçimi ve onaylanması,</w:t>
            </w:r>
          </w:p>
          <w:p w:rsidR="007A6BE7" w:rsidRPr="00C21290" w:rsidP="000021B1">
            <w:pPr>
              <w:numPr>
                <w:ilvl w:val="0"/>
                <w:numId w:val="28"/>
              </w:numPr>
              <w:jc w:val="both"/>
              <w:rPr>
                <w:sz w:val="24"/>
                <w:szCs w:val="24"/>
                <w:lang w:eastAsia="en-US"/>
              </w:rPr>
            </w:pPr>
            <w:r w:rsidRPr="00C21290">
              <w:rPr>
                <w:sz w:val="24"/>
                <w:szCs w:val="24"/>
                <w:lang w:eastAsia="en-US"/>
              </w:rPr>
              <w:t>Temin edilen ürünlerin ve hizmetlerin doğrulanması,</w:t>
            </w:r>
          </w:p>
          <w:p w:rsidR="007A6BE7" w:rsidRPr="00C21290" w:rsidP="000021B1">
            <w:pPr>
              <w:numPr>
                <w:ilvl w:val="0"/>
                <w:numId w:val="28"/>
              </w:numPr>
              <w:jc w:val="both"/>
              <w:rPr>
                <w:sz w:val="24"/>
                <w:szCs w:val="24"/>
                <w:lang w:eastAsia="en-US"/>
              </w:rPr>
            </w:pPr>
            <w:r w:rsidRPr="00C21290">
              <w:rPr>
                <w:sz w:val="24"/>
                <w:szCs w:val="24"/>
                <w:lang w:eastAsia="en-US"/>
              </w:rPr>
              <w:t xml:space="preserve">Uygun depolama tesislerinin sağlanması </w:t>
            </w:r>
          </w:p>
          <w:p w:rsidR="007A6BE7" w:rsidRPr="00C21290" w:rsidP="00281C59">
            <w:pPr>
              <w:jc w:val="both"/>
              <w:rPr>
                <w:sz w:val="24"/>
                <w:szCs w:val="24"/>
                <w:lang w:eastAsia="en-US"/>
              </w:rPr>
            </w:pPr>
            <w:r w:rsidRPr="00C21290">
              <w:rPr>
                <w:sz w:val="24"/>
                <w:szCs w:val="24"/>
                <w:lang w:eastAsia="en-US"/>
              </w:rPr>
              <w:t xml:space="preserve">için prosedürleri olmalıdır.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rPr>
              <w:t>6.2.12</w:t>
              <w:tab/>
            </w:r>
            <w:r w:rsidRPr="00C21290">
              <w:rPr>
                <w:sz w:val="24"/>
                <w:szCs w:val="24"/>
                <w:lang w:eastAsia="en-US"/>
              </w:rPr>
              <w:t>Uygulanabilir olduğunda, depolanmış öğelerin durumu, bozulmanın tespit edilmesi amacıyla uygun aralıklarla değerlendirilmelidir.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rPr>
              <w:t>6.2.13</w:t>
              <w:tab/>
            </w:r>
            <w:r w:rsidRPr="00C21290">
              <w:rPr>
                <w:sz w:val="24"/>
                <w:szCs w:val="24"/>
                <w:lang w:eastAsia="en-US"/>
              </w:rPr>
              <w:t>Muayene kuruluşu, muayenelerle ilgili olarak bilgisayarlar veya otomatik donanım kullanıyorsa;</w:t>
            </w:r>
          </w:p>
          <w:p w:rsidR="007A6BE7" w:rsidRPr="00C21290" w:rsidP="00281C59">
            <w:pPr>
              <w:jc w:val="both"/>
              <w:rPr>
                <w:sz w:val="24"/>
                <w:szCs w:val="24"/>
                <w:lang w:eastAsia="en-US"/>
              </w:rPr>
            </w:pPr>
          </w:p>
          <w:p w:rsidR="007A6BE7" w:rsidRPr="00C21290" w:rsidP="000021B1">
            <w:pPr>
              <w:numPr>
                <w:ilvl w:val="0"/>
                <w:numId w:val="30"/>
              </w:numPr>
              <w:tabs>
                <w:tab w:val="left" w:pos="400"/>
                <w:tab w:val="center" w:pos="4536"/>
                <w:tab w:val="right" w:pos="9072"/>
              </w:tabs>
              <w:ind w:left="400" w:hanging="400"/>
              <w:jc w:val="both"/>
              <w:rPr>
                <w:sz w:val="24"/>
                <w:szCs w:val="24"/>
              </w:rPr>
            </w:pPr>
            <w:r w:rsidRPr="00C21290">
              <w:rPr>
                <w:sz w:val="24"/>
                <w:szCs w:val="24"/>
              </w:rPr>
              <w:t>Bilgisayar yazılımının kullanım için yeterli olmasını,</w:t>
            </w:r>
          </w:p>
          <w:p w:rsidR="007A6BE7" w:rsidRPr="00C21290" w:rsidP="00281C59">
            <w:pPr>
              <w:tabs>
                <w:tab w:val="left" w:pos="400"/>
                <w:tab w:val="center" w:pos="4536"/>
                <w:tab w:val="right" w:pos="9072"/>
              </w:tabs>
              <w:jc w:val="both"/>
              <w:rPr>
                <w:sz w:val="24"/>
                <w:szCs w:val="24"/>
              </w:rPr>
            </w:pPr>
          </w:p>
          <w:p w:rsidR="007A6BE7" w:rsidRPr="00C21290" w:rsidP="00281C59">
            <w:pPr>
              <w:tabs>
                <w:tab w:val="left" w:pos="400"/>
                <w:tab w:val="left" w:pos="567"/>
                <w:tab w:val="center" w:pos="4536"/>
                <w:tab w:val="right" w:pos="9072"/>
              </w:tabs>
              <w:jc w:val="both"/>
              <w:rPr>
                <w:sz w:val="24"/>
                <w:szCs w:val="24"/>
              </w:rPr>
            </w:pPr>
            <w:r w:rsidRPr="00C21290">
              <w:rPr>
                <w:b/>
                <w:sz w:val="24"/>
                <w:szCs w:val="24"/>
              </w:rPr>
              <w:t>Not -</w:t>
            </w:r>
            <w:r w:rsidRPr="00C21290">
              <w:rPr>
                <w:sz w:val="24"/>
                <w:szCs w:val="24"/>
              </w:rPr>
              <w:tab/>
              <w:t>Bu, aşağıda belirtilenlerle yapılabilir:</w:t>
            </w:r>
          </w:p>
          <w:p w:rsidR="007A6BE7" w:rsidRPr="00C21290" w:rsidP="00281C59">
            <w:pPr>
              <w:tabs>
                <w:tab w:val="left" w:pos="400"/>
                <w:tab w:val="left" w:pos="567"/>
                <w:tab w:val="center" w:pos="4536"/>
                <w:tab w:val="right" w:pos="9072"/>
              </w:tabs>
              <w:jc w:val="both"/>
              <w:rPr>
                <w:sz w:val="24"/>
                <w:szCs w:val="24"/>
              </w:rPr>
            </w:pPr>
          </w:p>
          <w:p w:rsidR="007A6BE7" w:rsidRPr="00C21290" w:rsidP="00281C59">
            <w:pPr>
              <w:tabs>
                <w:tab w:val="left" w:pos="567"/>
                <w:tab w:val="center" w:pos="4536"/>
                <w:tab w:val="right" w:pos="9072"/>
              </w:tabs>
              <w:jc w:val="both"/>
              <w:rPr>
                <w:sz w:val="24"/>
                <w:szCs w:val="24"/>
              </w:rPr>
            </w:pPr>
            <w:r w:rsidRPr="00C21290">
              <w:rPr>
                <w:sz w:val="24"/>
                <w:szCs w:val="24"/>
              </w:rPr>
              <w:tab/>
              <w:t>- Kullanım öncesinde hesaplamaların geçerli kılınması,</w:t>
            </w:r>
          </w:p>
          <w:p w:rsidR="007A6BE7" w:rsidRPr="00C21290" w:rsidP="00281C59">
            <w:pPr>
              <w:tabs>
                <w:tab w:val="left" w:pos="567"/>
                <w:tab w:val="center" w:pos="4536"/>
                <w:tab w:val="right" w:pos="9072"/>
              </w:tabs>
              <w:jc w:val="both"/>
              <w:rPr>
                <w:sz w:val="24"/>
                <w:szCs w:val="24"/>
              </w:rPr>
            </w:pPr>
            <w:r w:rsidRPr="00C21290">
              <w:rPr>
                <w:sz w:val="24"/>
                <w:szCs w:val="24"/>
              </w:rPr>
              <w:tab/>
              <w:t>- İlgili donanım ve yazılımın belirli aralıklarla tekrar geçerli kılınması,</w:t>
            </w:r>
          </w:p>
          <w:p w:rsidR="007A6BE7" w:rsidRPr="00C21290" w:rsidP="00281C59">
            <w:pPr>
              <w:tabs>
                <w:tab w:val="left" w:pos="567"/>
                <w:tab w:val="center" w:pos="4536"/>
                <w:tab w:val="right" w:pos="9072"/>
              </w:tabs>
              <w:jc w:val="both"/>
              <w:rPr>
                <w:sz w:val="24"/>
                <w:szCs w:val="24"/>
              </w:rPr>
            </w:pPr>
            <w:r w:rsidRPr="00C21290">
              <w:rPr>
                <w:sz w:val="24"/>
                <w:szCs w:val="24"/>
              </w:rPr>
              <w:tab/>
              <w:t>- İlgili donanım veya yazılımda değişiklikler yapıldığında tekrar geçerli kılınması,</w:t>
            </w:r>
          </w:p>
          <w:p w:rsidR="007A6BE7" w:rsidRPr="00C21290" w:rsidP="00281C59">
            <w:pPr>
              <w:tabs>
                <w:tab w:val="left" w:pos="567"/>
                <w:tab w:val="center" w:pos="4536"/>
                <w:tab w:val="right" w:pos="9072"/>
              </w:tabs>
              <w:jc w:val="both"/>
              <w:rPr>
                <w:sz w:val="24"/>
                <w:szCs w:val="24"/>
              </w:rPr>
            </w:pPr>
            <w:r w:rsidRPr="00C21290">
              <w:rPr>
                <w:sz w:val="24"/>
                <w:szCs w:val="24"/>
              </w:rPr>
              <w:tab/>
              <w:t>- Gerektiğinde yazılım güncellemelerinin uygulanması.</w:t>
            </w:r>
          </w:p>
          <w:p w:rsidR="007A6BE7" w:rsidRPr="00C21290" w:rsidP="00281C59">
            <w:pPr>
              <w:tabs>
                <w:tab w:val="left" w:pos="400"/>
                <w:tab w:val="center" w:pos="567"/>
                <w:tab w:val="center" w:pos="4536"/>
                <w:tab w:val="right" w:pos="9072"/>
              </w:tabs>
              <w:jc w:val="both"/>
              <w:rPr>
                <w:sz w:val="24"/>
                <w:szCs w:val="24"/>
              </w:rPr>
            </w:pPr>
            <w:r w:rsidRPr="00C21290">
              <w:rPr>
                <w:sz w:val="24"/>
                <w:szCs w:val="24"/>
              </w:rPr>
              <w:t xml:space="preserve"> </w:t>
            </w:r>
          </w:p>
          <w:p w:rsidR="007A6BE7" w:rsidRPr="00C21290" w:rsidP="000021B1">
            <w:pPr>
              <w:numPr>
                <w:ilvl w:val="0"/>
                <w:numId w:val="30"/>
              </w:numPr>
              <w:tabs>
                <w:tab w:val="left" w:pos="400"/>
              </w:tabs>
              <w:ind w:left="400" w:hanging="400"/>
              <w:jc w:val="both"/>
              <w:rPr>
                <w:sz w:val="24"/>
                <w:szCs w:val="24"/>
                <w:lang w:eastAsia="en-US"/>
              </w:rPr>
            </w:pPr>
            <w:r w:rsidRPr="00C21290">
              <w:rPr>
                <w:sz w:val="24"/>
                <w:szCs w:val="24"/>
                <w:lang w:eastAsia="en-US"/>
              </w:rPr>
              <w:t>Verilerin bütünlüğünün ve güvenliğinin korunması için prosedürlerin oluşturulmasını ve uygulanmasını,</w:t>
            </w:r>
          </w:p>
          <w:p w:rsidR="007A6BE7" w:rsidRPr="00C21290" w:rsidP="000021B1">
            <w:pPr>
              <w:numPr>
                <w:ilvl w:val="0"/>
                <w:numId w:val="30"/>
              </w:numPr>
              <w:tabs>
                <w:tab w:val="left" w:pos="400"/>
              </w:tabs>
              <w:ind w:left="400" w:hanging="400"/>
              <w:jc w:val="both"/>
              <w:rPr>
                <w:sz w:val="24"/>
                <w:szCs w:val="24"/>
                <w:lang w:eastAsia="en-US"/>
              </w:rPr>
            </w:pPr>
            <w:r w:rsidRPr="00C21290">
              <w:rPr>
                <w:sz w:val="24"/>
                <w:szCs w:val="24"/>
                <w:lang w:eastAsia="en-US"/>
              </w:rPr>
              <w:t>Bilgisayar ve otomatik donanımın fonksiyonlarını uygun şekilde yerine getirmesini güvence altına almak için bakımlarının yapılmasını sağlamalıdır.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400"/>
              </w:tabs>
              <w:jc w:val="both"/>
              <w:rPr>
                <w:sz w:val="24"/>
                <w:szCs w:val="24"/>
                <w:lang w:eastAsia="en-US"/>
              </w:rPr>
            </w:pPr>
            <w:r w:rsidRPr="00C21290">
              <w:rPr>
                <w:b/>
                <w:sz w:val="24"/>
                <w:szCs w:val="24"/>
              </w:rPr>
              <w:t>6.2.14</w:t>
              <w:tab/>
            </w:r>
            <w:r w:rsidRPr="00C21290">
              <w:rPr>
                <w:sz w:val="24"/>
                <w:szCs w:val="24"/>
                <w:lang w:eastAsia="en-US"/>
              </w:rPr>
              <w:t>Muayene kuruluşunun, arızalı donanıma yapılacak işlemlere ilişkin dokümante edilmiş prosedürleri olmalıdır. Arızalı donanım; ayrı bir yerde tutulmak, göze çarpan biçimde etiketlenmek veya işaretlenmek suretiyle kullanım dışı bırakılmalıdır. Muayene kuruluşu, arızaların daha önceki muayeneler üzerindeki etkilerini incelemeli ve gerektiğinde uygun düzeltici faaliyeti gerçekleştirmelidir.</w:t>
            </w:r>
          </w:p>
          <w:p w:rsidR="007A6BE7" w:rsidRPr="00C21290" w:rsidP="00281C59">
            <w:pPr>
              <w:tabs>
                <w:tab w:val="left" w:pos="400"/>
              </w:tabs>
              <w:jc w:val="both"/>
              <w:rPr>
                <w:color w:val="FF0000"/>
                <w:sz w:val="24"/>
                <w:szCs w:val="24"/>
                <w:lang w:eastAsia="en-US"/>
              </w:rPr>
            </w:pPr>
          </w:p>
          <w:p w:rsidR="007A6BE7" w:rsidRPr="00C21290" w:rsidP="00281C59">
            <w:pPr>
              <w:tabs>
                <w:tab w:val="left" w:pos="400"/>
              </w:tabs>
              <w:jc w:val="both"/>
              <w:rPr>
                <w:b/>
                <w:i/>
                <w:color w:val="FF0000"/>
                <w:sz w:val="24"/>
                <w:szCs w:val="24"/>
                <w:lang w:eastAsia="en-US"/>
              </w:rPr>
            </w:pPr>
            <w:r w:rsidRPr="00C21290">
              <w:rPr>
                <w:b/>
                <w:i/>
                <w:sz w:val="24"/>
                <w:szCs w:val="24"/>
                <w:lang w:eastAsia="en-US"/>
              </w:rPr>
              <w:t>(Yönetmelik Madde 12)</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400"/>
              </w:tabs>
              <w:jc w:val="both"/>
              <w:rPr>
                <w:sz w:val="24"/>
                <w:szCs w:val="24"/>
                <w:lang w:eastAsia="en-US"/>
              </w:rPr>
            </w:pPr>
            <w:r w:rsidRPr="00C21290">
              <w:rPr>
                <w:b/>
                <w:sz w:val="24"/>
                <w:szCs w:val="24"/>
              </w:rPr>
              <w:t>6.2.15</w:t>
            </w:r>
            <w:r w:rsidRPr="00C21290">
              <w:rPr>
                <w:sz w:val="24"/>
                <w:szCs w:val="24"/>
                <w:lang w:eastAsia="en-US"/>
              </w:rPr>
              <w:tab/>
              <w:t>Yazılım dâhil donanıma ilişkin uygun bilgiler kayıt altına alınmalıdır. Bu bilgiler, donanımın tanımını ve uygun olduğunda, kalibrasyon ve bakıma ilişkin bilgileri içermelidir.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pStyle w:val="Heading1"/>
              <w:outlineLvl w:val="0"/>
              <w:rPr>
                <w:rFonts w:ascii="Times New Roman" w:hAnsi="Times New Roman"/>
                <w:sz w:val="24"/>
                <w:szCs w:val="24"/>
              </w:rPr>
            </w:pPr>
            <w:bookmarkStart w:id="3" w:name="_Toc356329119"/>
            <w:bookmarkStart w:id="4" w:name="_Toc356382488"/>
            <w:r w:rsidRPr="00C21290">
              <w:rPr>
                <w:rFonts w:ascii="Times New Roman" w:hAnsi="Times New Roman"/>
                <w:sz w:val="24"/>
                <w:szCs w:val="24"/>
              </w:rPr>
              <w:t>7</w:t>
              <w:tab/>
              <w:t>Proses şartları</w:t>
            </w:r>
            <w:bookmarkEnd w:id="3"/>
            <w:bookmarkEnd w:id="4"/>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pStyle w:val="Heading2"/>
              <w:outlineLvl w:val="1"/>
              <w:rPr>
                <w:rFonts w:ascii="Times New Roman" w:hAnsi="Times New Roman" w:cs="Times New Roman"/>
                <w:szCs w:val="24"/>
              </w:rPr>
            </w:pPr>
            <w:bookmarkStart w:id="5" w:name="_Toc356382489"/>
            <w:r w:rsidRPr="00C21290">
              <w:rPr>
                <w:rFonts w:ascii="Times New Roman" w:hAnsi="Times New Roman" w:cs="Times New Roman"/>
                <w:szCs w:val="24"/>
              </w:rPr>
              <w:t>7.1</w:t>
              <w:tab/>
              <w:t>Muayene yöntemleri ve prosedürler</w:t>
            </w:r>
            <w:bookmarkEnd w:id="5"/>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autoSpaceDE w:val="0"/>
              <w:autoSpaceDN w:val="0"/>
              <w:adjustRightInd w:val="0"/>
              <w:jc w:val="both"/>
              <w:rPr>
                <w:sz w:val="24"/>
                <w:szCs w:val="24"/>
                <w:lang w:eastAsia="en-US"/>
              </w:rPr>
            </w:pPr>
            <w:r w:rsidRPr="00C21290">
              <w:rPr>
                <w:b/>
                <w:sz w:val="24"/>
                <w:szCs w:val="24"/>
                <w:lang w:eastAsia="en-US"/>
              </w:rPr>
              <w:t>7.1.1</w:t>
              <w:tab/>
            </w:r>
            <w:r w:rsidRPr="00C21290">
              <w:rPr>
                <w:sz w:val="24"/>
                <w:szCs w:val="24"/>
                <w:lang w:eastAsia="en-US"/>
              </w:rPr>
              <w:t>Muayene kuruluşu muayenede, muayenenin gerçekleştirilmesinde referans alınacak şartlarda belirtilen muayene yöntemlerini ve prosedürlerini kullanmalıdır. Bu yöntem ve prosedürlerin tanımlanmamış olduğu durumlarda, muayene kuruluşu kullanılacak özel yöntemleri ve prosedürleri (bk. Madde 7.1.3) oluşturmalıdır. Müşteri tarafından önerilen yöntemin uygun olmadığı değerlendiriliyorsa, muayene kuruluşu bu konuda müşteriyi bilgilendirmelidir.</w:t>
            </w:r>
          </w:p>
          <w:p w:rsidR="007A6BE7" w:rsidRPr="00C21290" w:rsidP="00281C59">
            <w:pPr>
              <w:autoSpaceDE w:val="0"/>
              <w:autoSpaceDN w:val="0"/>
              <w:adjustRightInd w:val="0"/>
              <w:rPr>
                <w:sz w:val="24"/>
                <w:szCs w:val="24"/>
                <w:lang w:eastAsia="en-US"/>
              </w:rPr>
            </w:pPr>
          </w:p>
          <w:p w:rsidR="007A6BE7" w:rsidRPr="00C21290" w:rsidP="00281C59">
            <w:pPr>
              <w:ind w:left="567" w:hanging="567"/>
              <w:jc w:val="both"/>
              <w:rPr>
                <w:sz w:val="24"/>
                <w:szCs w:val="24"/>
                <w:lang w:eastAsia="en-US"/>
              </w:rPr>
            </w:pPr>
            <w:r w:rsidRPr="00C21290">
              <w:rPr>
                <w:b/>
                <w:sz w:val="24"/>
                <w:szCs w:val="24"/>
                <w:lang w:eastAsia="en-US"/>
              </w:rPr>
              <w:t>Not -</w:t>
            </w:r>
            <w:r w:rsidRPr="00C21290">
              <w:rPr>
                <w:sz w:val="24"/>
                <w:szCs w:val="24"/>
                <w:lang w:eastAsia="en-US"/>
              </w:rPr>
              <w:t xml:space="preserve"> </w:t>
              <w:tab/>
              <w:t>Muayenenin gerçekleştirilmesinde referans alınacak şartlar, genellikle düzenlemeler, standardlar veya şartnameler, muayene programları veya sözleşmelerde belirtilir. Şartnameler, müşteri şartlarını veya kuruluş bünyesi içinde oluşturulmuş şartları içerebilir.</w:t>
            </w:r>
          </w:p>
          <w:p w:rsidR="007A6BE7" w:rsidRPr="00C21290" w:rsidP="00281C59">
            <w:pPr>
              <w:ind w:left="567" w:hanging="567"/>
              <w:jc w:val="both"/>
              <w:rPr>
                <w:sz w:val="24"/>
                <w:szCs w:val="24"/>
                <w:lang w:eastAsia="en-US"/>
              </w:rPr>
            </w:pPr>
          </w:p>
          <w:p w:rsidR="007A6BE7" w:rsidRPr="00C21290" w:rsidP="00281C59">
            <w:pPr>
              <w:ind w:left="34" w:hanging="34"/>
              <w:jc w:val="both"/>
              <w:rPr>
                <w:b/>
                <w:i/>
                <w:sz w:val="24"/>
                <w:szCs w:val="24"/>
                <w:lang w:eastAsia="en-US"/>
              </w:rPr>
            </w:pPr>
            <w:r w:rsidRPr="00C21290">
              <w:rPr>
                <w:b/>
                <w:i/>
                <w:sz w:val="24"/>
                <w:szCs w:val="24"/>
                <w:lang w:eastAsia="en-US"/>
              </w:rPr>
              <w:t>(Servis, tartı aletlerinin muayenelerinde aşağıdaki standart ve norm dokümanlarda bahsedilen muayene yöntemlerini kullanmalıdır:</w:t>
            </w:r>
          </w:p>
          <w:p w:rsidR="007A6BE7" w:rsidRPr="00C21290" w:rsidP="00281C59">
            <w:pPr>
              <w:ind w:left="34" w:hanging="34"/>
              <w:jc w:val="both"/>
              <w:rPr>
                <w:b/>
                <w:i/>
                <w:sz w:val="24"/>
                <w:szCs w:val="24"/>
                <w:lang w:eastAsia="en-US"/>
              </w:rPr>
            </w:pPr>
            <w:r w:rsidRPr="00C21290">
              <w:rPr>
                <w:b/>
                <w:i/>
                <w:sz w:val="24"/>
                <w:szCs w:val="24"/>
                <w:lang w:eastAsia="en-US"/>
              </w:rPr>
              <w:t>a) Otomatik olmayan tartı aletleri için TS EN 45501 standardı veya OIML R 76-1 tavsiye dokümanı,</w:t>
            </w:r>
          </w:p>
          <w:p w:rsidR="007A6BE7" w:rsidRPr="00C21290" w:rsidP="00281C59">
            <w:pPr>
              <w:ind w:left="34" w:hanging="34"/>
              <w:jc w:val="both"/>
              <w:rPr>
                <w:b/>
                <w:i/>
                <w:sz w:val="24"/>
                <w:szCs w:val="24"/>
                <w:lang w:eastAsia="en-US"/>
              </w:rPr>
            </w:pPr>
            <w:r w:rsidRPr="00C21290">
              <w:rPr>
                <w:b/>
                <w:i/>
                <w:sz w:val="24"/>
                <w:szCs w:val="24"/>
                <w:lang w:eastAsia="en-US"/>
              </w:rPr>
              <w:t>b) Otomatik kütle belirleme terazileri ve otomatik kontrol terazileri için OIML R 51-1 tavsiye dokümanı,</w:t>
            </w:r>
          </w:p>
          <w:p w:rsidR="007A6BE7" w:rsidRPr="00C21290" w:rsidP="00281C59">
            <w:pPr>
              <w:ind w:left="34" w:hanging="34"/>
              <w:jc w:val="both"/>
              <w:rPr>
                <w:b/>
                <w:i/>
                <w:sz w:val="24"/>
                <w:szCs w:val="24"/>
                <w:lang w:eastAsia="en-US"/>
              </w:rPr>
            </w:pPr>
            <w:r w:rsidRPr="00C21290">
              <w:rPr>
                <w:b/>
                <w:i/>
                <w:sz w:val="24"/>
                <w:szCs w:val="24"/>
                <w:lang w:eastAsia="en-US"/>
              </w:rPr>
              <w:t>c) Otomatik gravimetrik dolum terazileri için OIML R 61-1 tavsiye dokümanı,</w:t>
            </w:r>
          </w:p>
          <w:p w:rsidR="007A6BE7" w:rsidRPr="00C21290" w:rsidP="00281C59">
            <w:pPr>
              <w:ind w:left="34" w:hanging="34"/>
              <w:jc w:val="both"/>
              <w:rPr>
                <w:b/>
                <w:i/>
                <w:sz w:val="24"/>
                <w:szCs w:val="24"/>
                <w:lang w:eastAsia="en-US"/>
              </w:rPr>
            </w:pPr>
            <w:r w:rsidRPr="00C21290">
              <w:rPr>
                <w:b/>
                <w:i/>
                <w:sz w:val="24"/>
                <w:szCs w:val="24"/>
                <w:lang w:eastAsia="en-US"/>
              </w:rPr>
              <w:t>d) Sürekli toplayıcılar (bant baskülü) için OIML R 50-1 tavsiye dokümanı,</w:t>
            </w:r>
          </w:p>
          <w:p w:rsidR="007A6BE7" w:rsidRPr="00C21290" w:rsidP="00281C59">
            <w:pPr>
              <w:ind w:left="34" w:hanging="34"/>
              <w:jc w:val="both"/>
              <w:rPr>
                <w:b/>
                <w:i/>
                <w:sz w:val="24"/>
                <w:szCs w:val="24"/>
                <w:lang w:eastAsia="en-US"/>
              </w:rPr>
            </w:pPr>
            <w:r w:rsidRPr="00C21290">
              <w:rPr>
                <w:b/>
                <w:i/>
                <w:sz w:val="24"/>
                <w:szCs w:val="24"/>
                <w:lang w:eastAsia="en-US"/>
              </w:rPr>
              <w:t>e) Kesintili toplayıcılar için OIML R 107-1 tavsiye dokümanı,</w:t>
            </w:r>
          </w:p>
          <w:p w:rsidR="007A6BE7" w:rsidRPr="00C21290" w:rsidP="00281C59">
            <w:pPr>
              <w:ind w:left="34" w:hanging="34"/>
              <w:jc w:val="both"/>
              <w:rPr>
                <w:b/>
                <w:i/>
                <w:sz w:val="24"/>
                <w:szCs w:val="24"/>
                <w:lang w:eastAsia="en-US"/>
              </w:rPr>
            </w:pPr>
            <w:r w:rsidRPr="00C21290">
              <w:rPr>
                <w:b/>
                <w:i/>
                <w:sz w:val="24"/>
                <w:szCs w:val="24"/>
                <w:lang w:eastAsia="en-US"/>
              </w:rPr>
              <w:t>f) Otomatik ray kantarları için OIML R 106-1 tavsiye dokümanı.</w:t>
            </w:r>
          </w:p>
          <w:p w:rsidR="007A6BE7" w:rsidRPr="00C21290" w:rsidP="00281C59">
            <w:pPr>
              <w:ind w:left="34" w:hanging="34"/>
              <w:jc w:val="both"/>
              <w:rPr>
                <w:sz w:val="24"/>
                <w:szCs w:val="24"/>
                <w:lang w:eastAsia="en-US"/>
              </w:rPr>
            </w:pPr>
            <w:r w:rsidRPr="00C21290">
              <w:rPr>
                <w:b/>
                <w:i/>
                <w:sz w:val="24"/>
                <w:szCs w:val="24"/>
                <w:lang w:eastAsia="en-US"/>
              </w:rPr>
              <w:t>g) Diğer tartı aletleri için OIML R 134-1 tavsiye dokümanı.)</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autoSpaceDE w:val="0"/>
              <w:autoSpaceDN w:val="0"/>
              <w:adjustRightInd w:val="0"/>
              <w:jc w:val="both"/>
              <w:rPr>
                <w:sz w:val="24"/>
                <w:szCs w:val="24"/>
                <w:lang w:eastAsia="en-US"/>
              </w:rPr>
            </w:pPr>
            <w:r w:rsidRPr="00C21290">
              <w:rPr>
                <w:b/>
                <w:sz w:val="24"/>
                <w:szCs w:val="24"/>
                <w:lang w:eastAsia="en-US"/>
              </w:rPr>
              <w:t>7.1.2</w:t>
              <w:tab/>
            </w:r>
            <w:r w:rsidRPr="00C21290">
              <w:rPr>
                <w:sz w:val="24"/>
                <w:szCs w:val="24"/>
                <w:lang w:eastAsia="en-US"/>
              </w:rPr>
              <w:t>Bulunmamaları durumunda muayene prosesinin etkinliğinin tehlikeye düşme ihtimali varsa, muayene kuruluşunun; muayene planlaması, numune alma ve muayene teknikleri konularında yeterli dokümante edilmiş talimatları olmalı ve bunları kullanmalıdır. Uygulanabilir olduğunda, muayene kuruluşu, istatistiksel olarak kabul edilen numune alma prosedürlerini ve elde edilen sonuçların doğru olarak işlemden geçirilmesini ve yorumlanmasını güvence altına almak için istatistiksel teknikler konusunda yeterli bilgi birikimine sahip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lang w:eastAsia="en-US"/>
              </w:rPr>
              <w:t>7.1.3</w:t>
              <w:tab/>
            </w:r>
            <w:r w:rsidRPr="00C21290">
              <w:rPr>
                <w:sz w:val="24"/>
                <w:szCs w:val="24"/>
                <w:lang w:eastAsia="en-US"/>
              </w:rPr>
              <w:t xml:space="preserve">Muayene kuruluşunun standart olmayan muayene yöntemlerini veya prosedürlerini kullanması gerektiğinde, bu yöntemler ve prosedürler uygun olmalı ve bütünüyle dokümante edilmiş olmalıdır. </w:t>
            </w:r>
          </w:p>
          <w:p w:rsidR="007A6BE7" w:rsidRPr="00C21290" w:rsidP="00281C59">
            <w:pPr>
              <w:tabs>
                <w:tab w:val="left" w:pos="567"/>
              </w:tabs>
              <w:jc w:val="both"/>
              <w:rPr>
                <w:sz w:val="24"/>
                <w:szCs w:val="24"/>
                <w:lang w:eastAsia="en-US"/>
              </w:rPr>
            </w:pPr>
          </w:p>
          <w:p w:rsidR="007A6BE7" w:rsidRPr="00C21290" w:rsidP="00281C59">
            <w:pPr>
              <w:tabs>
                <w:tab w:val="left" w:pos="567"/>
              </w:tabs>
              <w:ind w:left="567" w:hanging="567"/>
              <w:jc w:val="both"/>
              <w:rPr>
                <w:sz w:val="24"/>
                <w:szCs w:val="24"/>
                <w:lang w:eastAsia="en-US"/>
              </w:rPr>
            </w:pPr>
            <w:r w:rsidRPr="00C21290">
              <w:rPr>
                <w:b/>
                <w:sz w:val="24"/>
                <w:szCs w:val="24"/>
                <w:lang w:eastAsia="en-US"/>
              </w:rPr>
              <w:t>Not -</w:t>
            </w:r>
            <w:r w:rsidRPr="00C21290">
              <w:rPr>
                <w:sz w:val="24"/>
                <w:szCs w:val="24"/>
                <w:lang w:eastAsia="en-US"/>
              </w:rPr>
              <w:tab/>
              <w:t xml:space="preserve">Standart bir muayene yöntemi; örnek olarak uluslararası, bölgesel veya ulusal standardlarda yayımlanmış veya itibar edilebilir teknik organizasyonlar tarafından yayımlanan veya birkaç muayene kuruluşunun ortaklaşa yayımladığı veya ilgili bilimsel metinlerde veya dergilerde yayımlanmış olan yöntemdir. Bu, muayene kuruluşunun kendisi veya müşteri tarafından geliştirilen yöntemler dâhil, diğer yollarla geliştirilmiş olan yöntemlerin standart dışı yöntemler olarak değerlendirildiği anlamına gelir.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lang w:eastAsia="en-US"/>
              </w:rPr>
              <w:t>7.1.4</w:t>
              <w:tab/>
            </w:r>
            <w:r w:rsidRPr="00C21290">
              <w:rPr>
                <w:sz w:val="24"/>
                <w:szCs w:val="24"/>
                <w:lang w:eastAsia="en-US"/>
              </w:rPr>
              <w:t>Muayene kuruluşunun işine ilişkin tüm talimatlar, standardlar veya yazılı prosedürler, çalışma tabloları, kontrol listeleri, referans veriler güncel tutulmalı ve personelce kolaylıkla erişilebilir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lang w:eastAsia="en-US"/>
              </w:rPr>
              <w:t>7.1.5</w:t>
            </w:r>
            <w:r w:rsidRPr="00C21290">
              <w:rPr>
                <w:sz w:val="24"/>
                <w:szCs w:val="24"/>
                <w:lang w:eastAsia="en-US"/>
              </w:rPr>
              <w:tab/>
              <w:t xml:space="preserve">Muayene kuruluşunun; </w:t>
            </w:r>
          </w:p>
          <w:p w:rsidR="007A6BE7" w:rsidRPr="00C21290" w:rsidP="000021B1">
            <w:pPr>
              <w:numPr>
                <w:ilvl w:val="0"/>
                <w:numId w:val="29"/>
              </w:numPr>
              <w:ind w:left="357" w:hanging="357"/>
              <w:jc w:val="both"/>
              <w:rPr>
                <w:sz w:val="24"/>
                <w:szCs w:val="24"/>
                <w:lang w:eastAsia="en-US"/>
              </w:rPr>
            </w:pPr>
            <w:r w:rsidRPr="00C21290">
              <w:rPr>
                <w:sz w:val="24"/>
                <w:szCs w:val="24"/>
                <w:lang w:eastAsia="en-US"/>
              </w:rPr>
              <w:t>Üstlenilecek işin uzmanlık alanının içinde olduğu ve kuruluşun, şartları karşılayacak yeterli kaynaklara sahip olduğunu,</w:t>
            </w:r>
          </w:p>
          <w:p w:rsidR="007A6BE7" w:rsidRPr="00C21290" w:rsidP="00281C59">
            <w:pPr>
              <w:jc w:val="both"/>
              <w:rPr>
                <w:sz w:val="24"/>
                <w:szCs w:val="24"/>
                <w:lang w:eastAsia="en-US"/>
              </w:rPr>
            </w:pPr>
          </w:p>
          <w:p w:rsidR="007A6BE7" w:rsidRPr="00C21290" w:rsidP="00281C59">
            <w:pPr>
              <w:ind w:left="567" w:hanging="567"/>
              <w:jc w:val="both"/>
              <w:rPr>
                <w:sz w:val="24"/>
                <w:szCs w:val="24"/>
                <w:lang w:eastAsia="en-US"/>
              </w:rPr>
            </w:pPr>
            <w:r w:rsidRPr="00C21290">
              <w:rPr>
                <w:b/>
                <w:sz w:val="24"/>
                <w:szCs w:val="24"/>
                <w:lang w:eastAsia="en-US"/>
              </w:rPr>
              <w:t>Not -</w:t>
            </w:r>
            <w:r w:rsidRPr="00C21290">
              <w:rPr>
                <w:sz w:val="24"/>
                <w:szCs w:val="24"/>
                <w:lang w:eastAsia="en-US"/>
              </w:rPr>
              <w:tab/>
              <w:t>Kaynaklar; bunlarla sınırlı olmamakla birlikte tesisler, teçhizat, referans dokümanlar, prosedürler veya insan kaynaklarıdır.</w:t>
            </w:r>
          </w:p>
          <w:p w:rsidR="007A6BE7" w:rsidRPr="00C21290" w:rsidP="00281C59">
            <w:pPr>
              <w:jc w:val="both"/>
              <w:rPr>
                <w:sz w:val="24"/>
                <w:szCs w:val="24"/>
                <w:lang w:eastAsia="en-US"/>
              </w:rPr>
            </w:pPr>
          </w:p>
          <w:p w:rsidR="007A6BE7" w:rsidRPr="00C21290" w:rsidP="000021B1">
            <w:pPr>
              <w:numPr>
                <w:ilvl w:val="0"/>
                <w:numId w:val="29"/>
              </w:numPr>
              <w:ind w:left="357" w:hanging="357"/>
              <w:jc w:val="both"/>
              <w:rPr>
                <w:sz w:val="24"/>
                <w:szCs w:val="24"/>
                <w:lang w:eastAsia="en-US"/>
              </w:rPr>
            </w:pPr>
            <w:r w:rsidRPr="00C21290">
              <w:rPr>
                <w:sz w:val="24"/>
                <w:szCs w:val="24"/>
                <w:lang w:eastAsia="en-US"/>
              </w:rPr>
              <w:t xml:space="preserve">Gerekli görevleri gerçekleştirecek personele belirsizlik içermeyen talimatlar yayımlanabilmesini sağlayacak şekilde; muayene kuruluşunun hizmetlerinden yararlanmak isteyenlerin şartlarının yeterince tanımlandığını ve özel şartların anlaşılmış olduğunu, </w:t>
            </w:r>
          </w:p>
          <w:p w:rsidR="007A6BE7" w:rsidRPr="00C21290" w:rsidP="000021B1">
            <w:pPr>
              <w:numPr>
                <w:ilvl w:val="0"/>
                <w:numId w:val="29"/>
              </w:numPr>
              <w:ind w:left="357" w:hanging="357"/>
              <w:jc w:val="both"/>
              <w:rPr>
                <w:sz w:val="24"/>
                <w:szCs w:val="24"/>
                <w:lang w:eastAsia="en-US"/>
              </w:rPr>
            </w:pPr>
            <w:r w:rsidRPr="00C21290">
              <w:rPr>
                <w:sz w:val="24"/>
                <w:szCs w:val="24"/>
                <w:lang w:eastAsia="en-US"/>
              </w:rPr>
              <w:t>Üstlenilen işin, düzenli gözden geçirmeler ve düzeltici faaliyetlerle kontrol altında bulundurulduğunu,</w:t>
            </w:r>
          </w:p>
          <w:p w:rsidR="007A6BE7" w:rsidRPr="00C21290" w:rsidP="007A6BE7">
            <w:pPr>
              <w:numPr>
                <w:ilvl w:val="0"/>
                <w:numId w:val="29"/>
              </w:numPr>
              <w:ind w:left="357" w:hanging="357"/>
              <w:jc w:val="both"/>
              <w:rPr>
                <w:sz w:val="24"/>
                <w:szCs w:val="24"/>
                <w:lang w:eastAsia="en-US"/>
              </w:rPr>
            </w:pPr>
            <w:r w:rsidRPr="00C21290">
              <w:rPr>
                <w:sz w:val="24"/>
                <w:szCs w:val="24"/>
                <w:lang w:eastAsia="en-US"/>
              </w:rPr>
              <w:t>Sözleşme veya iş emrinin şartlarının karşılanmış olduğunu güvence altına alan bir sözleşme veya iş emri kontrol sistemi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7.1.6</w:t>
            </w:r>
            <w:r w:rsidRPr="00C21290">
              <w:rPr>
                <w:sz w:val="24"/>
                <w:szCs w:val="24"/>
                <w:lang w:eastAsia="en-US"/>
              </w:rPr>
              <w:tab/>
              <w:t>Muayene kuruluşu, muayene prosesinin bir kısmında yer alan herhangi bir diğer tarafça sağlanan bilgiyi kullandığında, bu bilginin tamlığını doğrulamalıdır.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7.1.7</w:t>
            </w:r>
            <w:r w:rsidRPr="00C21290">
              <w:rPr>
                <w:sz w:val="24"/>
                <w:szCs w:val="24"/>
                <w:lang w:eastAsia="en-US"/>
              </w:rPr>
              <w:tab/>
              <w:t>Muayene sırasında yapılan gözlemler ve/veya toplanan veriler, ilgili bilgilerin kaybının önlenmesi amacıyla, zamanında kayıt altına alınmalıdır.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7.1.8</w:t>
            </w:r>
            <w:r w:rsidRPr="00C21290">
              <w:rPr>
                <w:sz w:val="24"/>
                <w:szCs w:val="24"/>
                <w:lang w:eastAsia="en-US"/>
              </w:rPr>
              <w:tab/>
              <w:t>Hesaplamalar ve veri aktarımları uygun kontrollere tabi tutulmalıdır.</w:t>
            </w:r>
          </w:p>
          <w:p w:rsidR="007A6BE7" w:rsidRPr="00C21290" w:rsidP="00281C59">
            <w:pPr>
              <w:ind w:left="709" w:hanging="709"/>
              <w:jc w:val="both"/>
              <w:rPr>
                <w:sz w:val="24"/>
                <w:szCs w:val="24"/>
                <w:lang w:eastAsia="en-US"/>
              </w:rPr>
            </w:pPr>
            <w:r w:rsidRPr="00C21290">
              <w:rPr>
                <w:b/>
                <w:sz w:val="24"/>
                <w:szCs w:val="24"/>
                <w:lang w:eastAsia="en-US"/>
              </w:rPr>
              <w:t>Not -</w:t>
            </w:r>
            <w:r w:rsidRPr="00C21290">
              <w:rPr>
                <w:sz w:val="24"/>
                <w:szCs w:val="24"/>
                <w:lang w:eastAsia="en-US"/>
              </w:rPr>
              <w:tab/>
              <w:t>Veriler; bir konumdan hataların ortaya çıkabileceği başka bir konuma aktarılan basılı evrak, dijital veri ve diğer her türlü veriyi içerebilir.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lang w:eastAsia="en-US"/>
              </w:rPr>
              <w:t>7.1.9</w:t>
            </w:r>
            <w:r w:rsidRPr="00C21290">
              <w:rPr>
                <w:sz w:val="24"/>
                <w:szCs w:val="24"/>
                <w:lang w:eastAsia="en-US"/>
              </w:rPr>
              <w:tab/>
              <w:t>Muayene kuruluşunun, muayeneyi güvenli bir şekilde yerine getirmek için dokümante edilmiş talimatları olmalıdır.</w:t>
            </w:r>
          </w:p>
          <w:p w:rsidR="007A6BE7" w:rsidRPr="00C21290" w:rsidP="00281C59">
            <w:pPr>
              <w:jc w:val="both"/>
              <w:rPr>
                <w:sz w:val="24"/>
                <w:szCs w:val="24"/>
                <w:lang w:eastAsia="en-US"/>
              </w:rPr>
            </w:pPr>
          </w:p>
          <w:p w:rsidR="007A6BE7" w:rsidRPr="00C21290" w:rsidP="00281C59">
            <w:pPr>
              <w:jc w:val="both"/>
              <w:rPr>
                <w:b/>
                <w:i/>
                <w:sz w:val="24"/>
                <w:szCs w:val="24"/>
                <w:lang w:eastAsia="en-US"/>
              </w:rPr>
            </w:pPr>
            <w:r w:rsidRPr="00C21290">
              <w:rPr>
                <w:b/>
                <w:i/>
                <w:sz w:val="24"/>
                <w:szCs w:val="24"/>
                <w:lang w:eastAsia="en-US"/>
              </w:rPr>
              <w:t>(Muayeneleri nasıl gerçekleştireceklerini anlatan yazılı muayene kılavuzları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pStyle w:val="Heading2"/>
              <w:outlineLvl w:val="1"/>
              <w:rPr>
                <w:rFonts w:ascii="Times New Roman" w:hAnsi="Times New Roman" w:cs="Times New Roman"/>
                <w:szCs w:val="24"/>
                <w:lang w:val="de-DE"/>
              </w:rPr>
            </w:pPr>
            <w:bookmarkStart w:id="6" w:name="_Toc356382490"/>
            <w:r w:rsidRPr="00C21290">
              <w:rPr>
                <w:rFonts w:ascii="Times New Roman" w:hAnsi="Times New Roman" w:cs="Times New Roman"/>
                <w:szCs w:val="24"/>
              </w:rPr>
              <w:t>7.2</w:t>
              <w:tab/>
              <w:t>Muayene öğeleri ve numunelerin</w:t>
            </w:r>
            <w:r w:rsidRPr="00C21290">
              <w:rPr>
                <w:rFonts w:ascii="Times New Roman" w:hAnsi="Times New Roman" w:cs="Times New Roman"/>
                <w:szCs w:val="24"/>
                <w:lang w:val="de-DE"/>
              </w:rPr>
              <w:t>in yönetimi</w:t>
            </w:r>
            <w:bookmarkEnd w:id="6"/>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autoSpaceDE w:val="0"/>
              <w:autoSpaceDN w:val="0"/>
              <w:adjustRightInd w:val="0"/>
              <w:rPr>
                <w:sz w:val="24"/>
                <w:szCs w:val="24"/>
                <w:lang w:eastAsia="en-US"/>
              </w:rPr>
            </w:pPr>
            <w:r w:rsidRPr="00C21290">
              <w:rPr>
                <w:b/>
                <w:sz w:val="24"/>
                <w:szCs w:val="24"/>
              </w:rPr>
              <w:t>7.2.1</w:t>
            </w:r>
            <w:r w:rsidRPr="00C21290">
              <w:rPr>
                <w:sz w:val="24"/>
                <w:szCs w:val="24"/>
                <w:lang w:eastAsia="en-US"/>
              </w:rPr>
              <w:tab/>
              <w:t>Muayene kuruluşu, kimliklerinin karışmasını önlemek için, muayene edilecek olan öğelerin ve numunelerin kendilerine özgü şekilde tanımlanmalarını sağlamalıdır.</w:t>
            </w:r>
          </w:p>
          <w:p w:rsidR="007A6BE7" w:rsidRPr="00C21290" w:rsidP="00281C59">
            <w:pPr>
              <w:autoSpaceDE w:val="0"/>
              <w:autoSpaceDN w:val="0"/>
              <w:adjustRightInd w:val="0"/>
              <w:rPr>
                <w:sz w:val="24"/>
                <w:szCs w:val="24"/>
                <w:lang w:eastAsia="en-US"/>
              </w:rPr>
            </w:pPr>
          </w:p>
          <w:p w:rsidR="007A6BE7" w:rsidRPr="00C21290" w:rsidP="00281C59">
            <w:pPr>
              <w:autoSpaceDE w:val="0"/>
              <w:autoSpaceDN w:val="0"/>
              <w:adjustRightInd w:val="0"/>
              <w:rPr>
                <w:b/>
                <w:i/>
                <w:sz w:val="24"/>
                <w:szCs w:val="24"/>
                <w:lang w:eastAsia="en-US"/>
              </w:rPr>
            </w:pPr>
            <w:r w:rsidRPr="00C21290">
              <w:rPr>
                <w:b/>
                <w:i/>
                <w:sz w:val="24"/>
                <w:szCs w:val="24"/>
                <w:lang w:eastAsia="en-US"/>
              </w:rPr>
              <w:t>(Yetkili muayene servislerinin kullanacağı damgaların yaptırılması, güvenliği ve izlenebilirliğinden servisler sorumludur. Yetkili muayene servisleri, muayene ettikleri tartı aletlerinde kendilerine ait olmayan damga kullanamaz. (Yönetmelik Madde 17/2))</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rPr>
              <w:t>7.2.2</w:t>
            </w:r>
            <w:r w:rsidRPr="00C21290">
              <w:rPr>
                <w:sz w:val="24"/>
                <w:szCs w:val="24"/>
                <w:lang w:eastAsia="en-US"/>
              </w:rPr>
              <w:tab/>
              <w:t>Muayene kuruluşu, muayene edilecek öğenin hazırlanmış olup olmadığını tespit etmelidir.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rPr>
              <w:t>7.2.3</w:t>
            </w:r>
            <w:r w:rsidRPr="00C21290">
              <w:rPr>
                <w:sz w:val="24"/>
                <w:szCs w:val="24"/>
                <w:lang w:eastAsia="en-US"/>
              </w:rPr>
              <w:tab/>
              <w:t>Muayene personeline bildirilen veya muayene personeli tarafından görülen tüm anormallikler kayıt altına alınmalıdır. Muayene edilecek öğenin, gerçekleştirilecek muayeneye uygunluğu konusunda herhangi bir tereddüt olduğunda veya öğe verilen tanıma uygun olmadığında, muayene kuruluşu işi devam ettirmeden önce müşteriyle temasa geçmelidir.</w:t>
            </w:r>
          </w:p>
          <w:p w:rsidR="007A6BE7" w:rsidRPr="00C21290" w:rsidP="00281C59">
            <w:pPr>
              <w:tabs>
                <w:tab w:val="left" w:pos="567"/>
              </w:tabs>
              <w:jc w:val="both"/>
              <w:rPr>
                <w:color w:val="FF0000"/>
                <w:sz w:val="24"/>
                <w:szCs w:val="24"/>
                <w:lang w:eastAsia="en-US"/>
              </w:rPr>
            </w:pPr>
          </w:p>
          <w:p w:rsidR="007A6BE7" w:rsidRPr="00C21290" w:rsidP="00281C59">
            <w:pPr>
              <w:tabs>
                <w:tab w:val="left" w:pos="567"/>
              </w:tabs>
              <w:jc w:val="both"/>
              <w:rPr>
                <w:b/>
                <w:i/>
                <w:sz w:val="24"/>
                <w:szCs w:val="24"/>
                <w:lang w:eastAsia="en-US"/>
              </w:rPr>
            </w:pPr>
            <w:r w:rsidRPr="00C21290">
              <w:rPr>
                <w:b/>
                <w:i/>
                <w:sz w:val="24"/>
                <w:szCs w:val="24"/>
                <w:lang w:eastAsia="en-US"/>
              </w:rPr>
              <w:t>(Yönetmelik Madde 12, Madde 5/1)</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tabs>
                <w:tab w:val="left" w:pos="567"/>
              </w:tabs>
              <w:jc w:val="both"/>
              <w:rPr>
                <w:sz w:val="24"/>
                <w:szCs w:val="24"/>
                <w:lang w:eastAsia="en-US"/>
              </w:rPr>
            </w:pPr>
            <w:r w:rsidRPr="00C21290">
              <w:rPr>
                <w:b/>
                <w:sz w:val="24"/>
                <w:szCs w:val="24"/>
              </w:rPr>
              <w:t>7.2.4</w:t>
            </w:r>
            <w:r w:rsidRPr="00C21290">
              <w:rPr>
                <w:sz w:val="24"/>
                <w:szCs w:val="24"/>
                <w:lang w:eastAsia="en-US"/>
              </w:rPr>
              <w:tab/>
              <w:t xml:space="preserve">Muayene kuruluşunun, kendi sorumluluğu altında iken, muayene edilecek olan öğelerin bozulmasını veya hasar görmesini önlemek amacıyla dokümante edilmiş prosedürleri ve uygun tesisleri olmalıdır.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pStyle w:val="Heading2"/>
              <w:outlineLvl w:val="1"/>
              <w:rPr>
                <w:rFonts w:ascii="Times New Roman" w:hAnsi="Times New Roman" w:cs="Times New Roman"/>
                <w:szCs w:val="24"/>
              </w:rPr>
            </w:pPr>
            <w:bookmarkStart w:id="7" w:name="_Toc356382491"/>
            <w:r w:rsidRPr="00C21290">
              <w:rPr>
                <w:rFonts w:ascii="Times New Roman" w:hAnsi="Times New Roman" w:cs="Times New Roman"/>
                <w:szCs w:val="24"/>
              </w:rPr>
              <w:t>7.3</w:t>
              <w:tab/>
              <w:t>Muayene kayıtları</w:t>
            </w:r>
            <w:bookmarkEnd w:id="7"/>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rPr>
              <w:t>7.3.1</w:t>
            </w:r>
            <w:r w:rsidRPr="00C21290">
              <w:rPr>
                <w:sz w:val="24"/>
                <w:szCs w:val="24"/>
                <w:lang w:eastAsia="en-US"/>
              </w:rPr>
              <w:tab/>
              <w:t>Muayene kuruluşu, muayene prosedürlerinin etkin olarak yerine getirildiğini göstermek ve muayenenin değerlendirilmesine imkan sağlamak için bir kayıt sistemi (bk. Madde 8.4) oluşturmalıdır.</w:t>
            </w:r>
          </w:p>
          <w:p w:rsidR="007A6BE7" w:rsidRPr="00C21290" w:rsidP="00281C59">
            <w:pPr>
              <w:jc w:val="both"/>
              <w:rPr>
                <w:sz w:val="24"/>
                <w:szCs w:val="24"/>
                <w:lang w:eastAsia="en-US"/>
              </w:rPr>
            </w:pPr>
          </w:p>
          <w:p w:rsidR="007A6BE7" w:rsidRPr="00C21290" w:rsidP="00281C59">
            <w:pPr>
              <w:jc w:val="both"/>
              <w:rPr>
                <w:b/>
                <w:i/>
                <w:sz w:val="24"/>
                <w:szCs w:val="24"/>
                <w:lang w:eastAsia="en-US"/>
              </w:rPr>
            </w:pPr>
            <w:r w:rsidRPr="00C21290">
              <w:rPr>
                <w:b/>
                <w:i/>
                <w:sz w:val="24"/>
                <w:szCs w:val="24"/>
                <w:lang w:eastAsia="en-US"/>
              </w:rPr>
              <w:t>(Yönetmelik Madde 20)</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rPr>
              <w:t>7.3.2</w:t>
            </w:r>
            <w:r w:rsidRPr="00C21290">
              <w:rPr>
                <w:sz w:val="24"/>
                <w:szCs w:val="24"/>
                <w:lang w:eastAsia="en-US"/>
              </w:rPr>
              <w:tab/>
              <w:t>Muayene raporu veya sertifikası, muayeneyi gerçekleştiren muayene personeline kuruluş içi olarak izlenebilir olmalıdır.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pStyle w:val="Heading2"/>
              <w:outlineLvl w:val="1"/>
              <w:rPr>
                <w:rFonts w:ascii="Times New Roman" w:hAnsi="Times New Roman" w:cs="Times New Roman"/>
                <w:szCs w:val="24"/>
              </w:rPr>
            </w:pPr>
            <w:bookmarkStart w:id="8" w:name="_Toc356382492"/>
            <w:r w:rsidRPr="00C21290">
              <w:rPr>
                <w:rFonts w:ascii="Times New Roman" w:hAnsi="Times New Roman" w:cs="Times New Roman"/>
                <w:szCs w:val="24"/>
              </w:rPr>
              <w:t>7.4</w:t>
              <w:tab/>
              <w:t>Muayene raporları ve muayene sertifikaları</w:t>
            </w:r>
            <w:bookmarkEnd w:id="8"/>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b/>
                <w:sz w:val="24"/>
                <w:szCs w:val="24"/>
              </w:rPr>
            </w:pPr>
            <w:r w:rsidRPr="00C21290">
              <w:rPr>
                <w:b/>
                <w:sz w:val="24"/>
                <w:szCs w:val="24"/>
              </w:rPr>
              <w:t>7.4.1</w:t>
            </w:r>
            <w:r w:rsidRPr="00C21290">
              <w:rPr>
                <w:sz w:val="24"/>
                <w:szCs w:val="24"/>
                <w:lang w:eastAsia="en-US"/>
              </w:rPr>
              <w:tab/>
              <w:t>Muayene kuruluşu tarafından gerçekleştirilen iş,  tekrar erişilebilir muayene raporları veya muayene sertifikaları kapsamı içerisinde yer almalıdır.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rPr>
              <w:t>7.4.2</w:t>
            </w:r>
            <w:r w:rsidRPr="00C21290">
              <w:rPr>
                <w:sz w:val="24"/>
                <w:szCs w:val="24"/>
                <w:lang w:eastAsia="en-US"/>
              </w:rPr>
              <w:tab/>
              <w:t>Tüm muayene raporları/sertifikaları, aşağıda belirtilenlerin tamamını içermelidir:</w:t>
            </w:r>
          </w:p>
          <w:p w:rsidR="007A6BE7" w:rsidRPr="00C21290" w:rsidP="00281C59">
            <w:pPr>
              <w:jc w:val="both"/>
              <w:rPr>
                <w:sz w:val="24"/>
                <w:szCs w:val="24"/>
                <w:lang w:eastAsia="en-US"/>
              </w:rPr>
            </w:pPr>
          </w:p>
          <w:p w:rsidR="007A6BE7" w:rsidRPr="00C21290" w:rsidP="00281C59">
            <w:pPr>
              <w:tabs>
                <w:tab w:val="left" w:pos="426"/>
              </w:tabs>
              <w:jc w:val="both"/>
              <w:rPr>
                <w:sz w:val="24"/>
                <w:szCs w:val="24"/>
                <w:lang w:eastAsia="en-US"/>
              </w:rPr>
            </w:pPr>
            <w:r w:rsidRPr="00C21290">
              <w:rPr>
                <w:sz w:val="24"/>
                <w:szCs w:val="24"/>
                <w:lang w:eastAsia="en-US"/>
              </w:rPr>
              <w:t>a)</w:t>
              <w:tab/>
              <w:t>Yayımlayan kuruluş,</w:t>
            </w:r>
          </w:p>
          <w:p w:rsidR="007A6BE7" w:rsidRPr="00C21290" w:rsidP="00281C59">
            <w:pPr>
              <w:tabs>
                <w:tab w:val="left" w:pos="426"/>
              </w:tabs>
              <w:jc w:val="both"/>
              <w:rPr>
                <w:sz w:val="24"/>
                <w:szCs w:val="24"/>
                <w:lang w:eastAsia="en-US"/>
              </w:rPr>
            </w:pPr>
            <w:r w:rsidRPr="00C21290">
              <w:rPr>
                <w:sz w:val="24"/>
                <w:szCs w:val="24"/>
                <w:lang w:eastAsia="en-US"/>
              </w:rPr>
              <w:t>b)</w:t>
              <w:tab/>
              <w:t>Kendine özgü bir tanımlama ve yayım tarihi,</w:t>
            </w:r>
          </w:p>
          <w:p w:rsidR="007A6BE7" w:rsidRPr="00C21290" w:rsidP="00281C59">
            <w:pPr>
              <w:tabs>
                <w:tab w:val="left" w:pos="426"/>
              </w:tabs>
              <w:jc w:val="both"/>
              <w:rPr>
                <w:sz w:val="24"/>
                <w:szCs w:val="24"/>
                <w:lang w:eastAsia="en-US"/>
              </w:rPr>
            </w:pPr>
            <w:r w:rsidRPr="00C21290">
              <w:rPr>
                <w:sz w:val="24"/>
                <w:szCs w:val="24"/>
                <w:lang w:eastAsia="en-US"/>
              </w:rPr>
              <w:t>c)</w:t>
              <w:tab/>
              <w:t>Muayene tarihi/tarihleri,</w:t>
            </w:r>
          </w:p>
          <w:p w:rsidR="007A6BE7" w:rsidRPr="00C21290" w:rsidP="00281C59">
            <w:pPr>
              <w:tabs>
                <w:tab w:val="left" w:pos="426"/>
              </w:tabs>
              <w:jc w:val="both"/>
              <w:rPr>
                <w:sz w:val="24"/>
                <w:szCs w:val="24"/>
                <w:lang w:eastAsia="en-US"/>
              </w:rPr>
            </w:pPr>
            <w:r w:rsidRPr="00C21290">
              <w:rPr>
                <w:sz w:val="24"/>
                <w:szCs w:val="24"/>
                <w:lang w:eastAsia="en-US"/>
              </w:rPr>
              <w:t>d)</w:t>
              <w:tab/>
              <w:t>Muayene edilen öğe/öğelerin tanımı,</w:t>
            </w:r>
          </w:p>
          <w:p w:rsidR="007A6BE7" w:rsidRPr="00C21290" w:rsidP="00281C59">
            <w:pPr>
              <w:tabs>
                <w:tab w:val="left" w:pos="426"/>
              </w:tabs>
              <w:jc w:val="both"/>
              <w:rPr>
                <w:sz w:val="24"/>
                <w:szCs w:val="24"/>
                <w:lang w:eastAsia="en-US"/>
              </w:rPr>
            </w:pPr>
            <w:r w:rsidRPr="00C21290">
              <w:rPr>
                <w:sz w:val="24"/>
                <w:szCs w:val="24"/>
                <w:lang w:eastAsia="en-US"/>
              </w:rPr>
              <w:t>e)</w:t>
              <w:tab/>
              <w:t>Yetkili personelin imzası veya onayın diğer bir şekilde gösterimi,</w:t>
            </w:r>
          </w:p>
          <w:p w:rsidR="007A6BE7" w:rsidRPr="00C21290" w:rsidP="00281C59">
            <w:pPr>
              <w:tabs>
                <w:tab w:val="left" w:pos="426"/>
              </w:tabs>
              <w:jc w:val="both"/>
              <w:rPr>
                <w:sz w:val="24"/>
                <w:szCs w:val="24"/>
                <w:lang w:eastAsia="en-US"/>
              </w:rPr>
            </w:pPr>
            <w:r w:rsidRPr="00C21290">
              <w:rPr>
                <w:sz w:val="24"/>
                <w:szCs w:val="24"/>
                <w:lang w:eastAsia="en-US"/>
              </w:rPr>
              <w:t>f)</w:t>
              <w:tab/>
              <w:t>Uygulanabilir olduğunda, bir uygunluk ifadesi,</w:t>
            </w:r>
          </w:p>
          <w:p w:rsidR="007A6BE7" w:rsidRPr="00C21290" w:rsidP="00281C59">
            <w:pPr>
              <w:tabs>
                <w:tab w:val="left" w:pos="426"/>
              </w:tabs>
              <w:jc w:val="both"/>
              <w:rPr>
                <w:sz w:val="24"/>
                <w:szCs w:val="24"/>
                <w:lang w:eastAsia="en-US"/>
              </w:rPr>
            </w:pPr>
            <w:r w:rsidRPr="00C21290">
              <w:rPr>
                <w:sz w:val="24"/>
                <w:szCs w:val="24"/>
                <w:lang w:eastAsia="en-US"/>
              </w:rPr>
              <w:t>g)</w:t>
              <w:tab/>
              <w:t>Madde 7.4.3’e göre detaylandırılanlar hariç, muayene sonuçları.</w:t>
            </w:r>
          </w:p>
          <w:p w:rsidR="007A6BE7" w:rsidRPr="00C21290" w:rsidP="00281C59">
            <w:pPr>
              <w:tabs>
                <w:tab w:val="left" w:pos="426"/>
              </w:tabs>
              <w:jc w:val="both"/>
              <w:rPr>
                <w:b/>
                <w:sz w:val="24"/>
                <w:szCs w:val="24"/>
                <w:lang w:eastAsia="en-US"/>
              </w:rPr>
            </w:pPr>
          </w:p>
          <w:p w:rsidR="007A6BE7" w:rsidRPr="00C21290" w:rsidP="00281C59">
            <w:pPr>
              <w:tabs>
                <w:tab w:val="left" w:pos="426"/>
              </w:tabs>
              <w:jc w:val="both"/>
              <w:rPr>
                <w:sz w:val="24"/>
                <w:szCs w:val="24"/>
                <w:lang w:eastAsia="en-US"/>
              </w:rPr>
            </w:pPr>
            <w:r w:rsidRPr="00C21290">
              <w:rPr>
                <w:b/>
                <w:sz w:val="24"/>
                <w:szCs w:val="24"/>
                <w:lang w:eastAsia="en-US"/>
              </w:rPr>
              <w:t>Not -</w:t>
            </w:r>
            <w:r w:rsidRPr="00C21290">
              <w:rPr>
                <w:sz w:val="24"/>
                <w:szCs w:val="24"/>
                <w:lang w:eastAsia="en-US"/>
              </w:rPr>
              <w:t xml:space="preserve"> Muayene raporları veya sertifikalarında yer verilebilecek olan isteğe bağlı bilgiler, Ek B’de listelenmiştir.</w:t>
            </w:r>
          </w:p>
          <w:p w:rsidR="007A6BE7" w:rsidRPr="00C21290" w:rsidP="00281C59">
            <w:pPr>
              <w:tabs>
                <w:tab w:val="left" w:pos="426"/>
              </w:tabs>
              <w:jc w:val="both"/>
              <w:rPr>
                <w:sz w:val="24"/>
                <w:szCs w:val="24"/>
                <w:lang w:eastAsia="en-US"/>
              </w:rPr>
            </w:pPr>
          </w:p>
          <w:p w:rsidR="007A6BE7" w:rsidRPr="00C21290" w:rsidP="00281C59">
            <w:pPr>
              <w:tabs>
                <w:tab w:val="left" w:pos="426"/>
              </w:tabs>
              <w:jc w:val="both"/>
              <w:rPr>
                <w:b/>
                <w:i/>
                <w:sz w:val="24"/>
                <w:szCs w:val="24"/>
                <w:lang w:eastAsia="en-US"/>
              </w:rPr>
            </w:pPr>
            <w:r w:rsidRPr="00C21290">
              <w:rPr>
                <w:b/>
                <w:i/>
                <w:sz w:val="24"/>
                <w:szCs w:val="24"/>
                <w:lang w:eastAsia="en-US"/>
              </w:rPr>
              <w:t>(1) Servis, muayene ettiği tartı aletlerinin test verilerini mevzuata, standarda ve OIML tavsiye dokümanlarına uygun olarak kaydeder. Bu kayıtlar muayene raporu formatında olmalı ve Bakanlığın yayımladığı rapor formatları varsa bu formatlar kullanılmalıdır.</w:t>
            </w:r>
          </w:p>
          <w:p w:rsidR="007A6BE7" w:rsidRPr="00C21290" w:rsidP="00281C59">
            <w:pPr>
              <w:tabs>
                <w:tab w:val="left" w:pos="426"/>
              </w:tabs>
              <w:jc w:val="both"/>
              <w:rPr>
                <w:sz w:val="24"/>
                <w:szCs w:val="24"/>
                <w:lang w:eastAsia="en-US"/>
              </w:rPr>
            </w:pPr>
            <w:r w:rsidRPr="00C21290">
              <w:rPr>
                <w:b/>
                <w:i/>
                <w:sz w:val="24"/>
                <w:szCs w:val="24"/>
                <w:lang w:eastAsia="en-US"/>
              </w:rPr>
              <w:t>2) Servis; muayene raporları, muayene kartları, ve damga yerine geçen belgeler de dahil olmak üzere, muayenesini yapmış olduğu tartı aletleri ile ilgili tüm işlemlere dair bilgi ve belgeleri denetimlerde ilgililere ibraz edilmek üzere en az beş (5) yıl muhafaza etmelidir.)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rPr>
              <w:t>7.4.3</w:t>
            </w:r>
            <w:r w:rsidRPr="00C21290">
              <w:rPr>
                <w:sz w:val="24"/>
                <w:szCs w:val="24"/>
                <w:lang w:eastAsia="en-US"/>
              </w:rPr>
              <w:tab/>
              <w:t>Muayene kuruluşu; muayene sonuçlarını (bk. Madde 7.4.2 g) içermeyen bir muayene sertifikasını sadece, muayene sonuçlarını içeren bir muayene raporunu da oluşturabildiğinde ve muayene sertifikası ve muayene raporu birbirlerine izlenebilir olduğunda yayınlamalıdır.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7A6BE7" w:rsidP="007A6BE7">
            <w:pPr>
              <w:jc w:val="both"/>
              <w:rPr>
                <w:sz w:val="24"/>
                <w:szCs w:val="24"/>
                <w:lang w:eastAsia="en-US"/>
              </w:rPr>
            </w:pPr>
            <w:r w:rsidRPr="00C21290">
              <w:rPr>
                <w:b/>
                <w:sz w:val="24"/>
                <w:szCs w:val="24"/>
              </w:rPr>
              <w:t>7.4.4</w:t>
            </w:r>
            <w:r w:rsidRPr="00C21290">
              <w:rPr>
                <w:sz w:val="24"/>
                <w:szCs w:val="24"/>
                <w:lang w:eastAsia="en-US"/>
              </w:rPr>
              <w:tab/>
              <w:t>Madde 7.4.2’de verilen tüm bilgiler; doğru, kesin ve açık bir şekilde raporlanmalıdır. Muayene raporu veya muayene sertifikası taşeronlar tarafından sağlanan sonuçları içerdiğinde bu sonuçlar, açık bir şekilde belirtilmelidir.</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r w:rsidTr="007A6BE7">
        <w:tblPrEx>
          <w:tblW w:w="10348" w:type="dxa"/>
          <w:tblInd w:w="108" w:type="dxa"/>
          <w:tblLook w:val="04A0"/>
        </w:tblPrEx>
        <w:tc>
          <w:tcPr>
            <w:tcW w:w="6237" w:type="dxa"/>
          </w:tcPr>
          <w:p w:rsidR="007A6BE7" w:rsidRPr="00C21290" w:rsidP="00281C59">
            <w:pPr>
              <w:jc w:val="both"/>
              <w:rPr>
                <w:sz w:val="24"/>
                <w:szCs w:val="24"/>
                <w:lang w:eastAsia="en-US"/>
              </w:rPr>
            </w:pPr>
            <w:r w:rsidRPr="00C21290">
              <w:rPr>
                <w:b/>
                <w:sz w:val="24"/>
                <w:szCs w:val="24"/>
              </w:rPr>
              <w:t>7.4.5</w:t>
            </w:r>
            <w:r w:rsidRPr="00C21290">
              <w:rPr>
                <w:sz w:val="24"/>
                <w:szCs w:val="24"/>
                <w:lang w:eastAsia="en-US"/>
              </w:rPr>
              <w:tab/>
              <w:t xml:space="preserve">Muayene raporu veya muayene sertifikası yayınlandıktan sonra yapılacak düzeltme veya eklemeler Madde 7,4’teki ilgili şartlara uygun olarak kayıt altına alınmalıdır. Tadil edilmiş rapor veya sertifikada, yerine geçtiği rapor veya sertifika belirtilmelidir. </w:t>
            </w:r>
          </w:p>
        </w:tc>
        <w:tc>
          <w:tcPr>
            <w:tcW w:w="1985" w:type="dxa"/>
          </w:tcPr>
          <w:p w:rsidR="007A6BE7" w:rsidRPr="00C21290" w:rsidP="00281C59">
            <w:pPr>
              <w:autoSpaceDE w:val="0"/>
              <w:autoSpaceDN w:val="0"/>
              <w:adjustRightInd w:val="0"/>
              <w:rPr>
                <w:rFonts w:eastAsia="Calibri"/>
                <w:sz w:val="24"/>
                <w:szCs w:val="24"/>
              </w:rPr>
            </w:pPr>
          </w:p>
        </w:tc>
        <w:tc>
          <w:tcPr>
            <w:tcW w:w="1134" w:type="dxa"/>
          </w:tcPr>
          <w:p w:rsidR="007A6BE7" w:rsidRPr="00C21290" w:rsidP="00281C59">
            <w:pPr>
              <w:autoSpaceDE w:val="0"/>
              <w:autoSpaceDN w:val="0"/>
              <w:adjustRightInd w:val="0"/>
              <w:rPr>
                <w:rFonts w:eastAsia="Calibri"/>
                <w:sz w:val="24"/>
                <w:szCs w:val="24"/>
              </w:rPr>
            </w:pPr>
          </w:p>
        </w:tc>
        <w:tc>
          <w:tcPr>
            <w:tcW w:w="992" w:type="dxa"/>
          </w:tcPr>
          <w:p w:rsidR="007A6BE7" w:rsidRPr="00C21290" w:rsidP="00281C59">
            <w:pPr>
              <w:autoSpaceDE w:val="0"/>
              <w:autoSpaceDN w:val="0"/>
              <w:adjustRightInd w:val="0"/>
              <w:rPr>
                <w:rFonts w:eastAsia="Calibri"/>
                <w:sz w:val="24"/>
                <w:szCs w:val="24"/>
              </w:rPr>
            </w:pPr>
          </w:p>
        </w:tc>
      </w:tr>
    </w:tbl>
    <w:p w:rsidR="000021B1" w:rsidRPr="00C21290" w:rsidP="007A6BE7">
      <w:pPr>
        <w:rPr>
          <w:sz w:val="22"/>
          <w:szCs w:val="22"/>
        </w:rPr>
      </w:pPr>
    </w:p>
    <w:sectPr w:rsidSect="0023691D">
      <w:headerReference w:type="default" r:id="rId4"/>
      <w:footerReference w:type="default" r:id="rId5"/>
      <w:pgSz w:w="11907" w:h="16839"/>
      <w:pgMar w:top="1843" w:right="567" w:bottom="1276"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3FD0" w:rsidP="009F3FD0">
    <w:pPr>
      <w:pStyle w:val="Footer"/>
    </w:pPr>
    <w:r>
      <w:t>Bu rapor 4 Eylül 2013 tarih ve 28755 sayılı Resmi Gazete’de yayımlanan TARTI ALETLERİ MUAYENE YÖNETMELİĞİ Geçici Madde 3 (1) hükümlerine göre hazırlanmıştır.</w:t>
    </w:r>
  </w:p>
  <w:p w:rsidR="00452633" w:rsidRPr="00FE0978" w:rsidP="00452633">
    <w:pPr>
      <w:pStyle w:val="Footer"/>
      <w:tabs>
        <w:tab w:val="center" w:pos="-1701"/>
        <w:tab w:val="left" w:pos="9072"/>
        <w:tab w:val="right" w:pos="13325"/>
      </w:tabs>
      <w:rPr>
        <w:b/>
        <w:noProof/>
      </w:rPr>
    </w:pPr>
    <w:r w:rsidRPr="00934B7F">
      <w:rPr>
        <w:rStyle w:val="PageNumber"/>
        <w:b/>
        <w:noProof/>
      </w:rPr>
      <w:tab/>
      <w:t xml:space="preserve">Sayfa </w:t>
    </w:r>
    <w:r w:rsidRPr="00934B7F">
      <w:rPr>
        <w:rStyle w:val="PageNumber"/>
        <w:b/>
        <w:noProof/>
      </w:rPr>
      <w:fldChar w:fldCharType="begin"/>
    </w:r>
    <w:r w:rsidRPr="00934B7F">
      <w:rPr>
        <w:rStyle w:val="PageNumber"/>
        <w:b/>
        <w:noProof/>
      </w:rPr>
      <w:instrText>PAGE  \* Arabic  \* MERGEFORMAT</w:instrText>
    </w:r>
    <w:r w:rsidRPr="00934B7F">
      <w:rPr>
        <w:rStyle w:val="PageNumber"/>
        <w:b/>
        <w:noProof/>
      </w:rPr>
      <w:fldChar w:fldCharType="separate"/>
    </w:r>
    <w:r w:rsidR="004F095D">
      <w:rPr>
        <w:rStyle w:val="PageNumber"/>
        <w:b/>
        <w:noProof/>
      </w:rPr>
      <w:t>2</w:t>
    </w:r>
    <w:r w:rsidRPr="00934B7F">
      <w:rPr>
        <w:rStyle w:val="PageNumber"/>
        <w:b/>
        <w:noProof/>
      </w:rPr>
      <w:fldChar w:fldCharType="end"/>
    </w:r>
    <w:r w:rsidRPr="00934B7F">
      <w:rPr>
        <w:rStyle w:val="PageNumber"/>
        <w:b/>
        <w:noProof/>
      </w:rPr>
      <w:t xml:space="preserve"> / </w:t>
    </w:r>
    <w:r w:rsidRPr="00934B7F">
      <w:rPr>
        <w:rStyle w:val="PageNumber"/>
        <w:b/>
        <w:noProof/>
      </w:rPr>
      <w:fldChar w:fldCharType="begin"/>
    </w:r>
    <w:r w:rsidRPr="00934B7F">
      <w:rPr>
        <w:rStyle w:val="PageNumber"/>
        <w:b/>
        <w:noProof/>
      </w:rPr>
      <w:instrText>NUMPAGES  \* Arabic  \* MERGEFORMAT</w:instrText>
    </w:r>
    <w:r w:rsidRPr="00934B7F">
      <w:rPr>
        <w:rStyle w:val="PageNumber"/>
        <w:b/>
        <w:noProof/>
      </w:rPr>
      <w:fldChar w:fldCharType="separate"/>
    </w:r>
    <w:r w:rsidR="004F095D">
      <w:rPr>
        <w:rStyle w:val="PageNumber"/>
        <w:b/>
        <w:noProof/>
      </w:rPr>
      <w:t>11</w:t>
    </w:r>
    <w:r w:rsidRPr="00934B7F">
      <w:rPr>
        <w:rStyle w:val="PageNumber"/>
        <w:b/>
        <w:noProof/>
      </w:rPr>
      <w:fldChar w:fldCharType="end"/>
    </w:r>
    <w:r>
      <w:rPr>
        <w:rStyle w:val="PageNumber"/>
        <w:b/>
        <w:noProof/>
      </w:rPr>
      <w:tab/>
      <w:t>Paraf:</w:t>
    </w:r>
  </w:p>
  <w:p w:rsidR="00894CBE" w:rsidRPr="00894CBE" w:rsidP="00894CBE">
    <w:pPr>
      <w:pStyle w:val="Footer"/>
      <w:tabs>
        <w:tab w:val="center" w:pos="-1701"/>
        <w:tab w:val="left" w:pos="9072"/>
        <w:tab w:val="right" w:pos="13325"/>
      </w:tabs>
      <w:rPr>
        <w:b/>
        <w:noProof/>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5244"/>
      <w:gridCol w:w="1276"/>
      <w:gridCol w:w="1134"/>
      <w:gridCol w:w="427"/>
      <w:gridCol w:w="567"/>
    </w:tblGrid>
    <w:tr w:rsidTr="00114D98">
      <w:tblPrEx>
        <w:tblW w:w="10350" w:type="dxa"/>
        <w:tblInd w:w="108" w:type="dxa"/>
        <w:tblLayout w:type="fixed"/>
        <w:tblLook w:val="04A0"/>
      </w:tblPrEx>
      <w:trPr>
        <w:cantSplit/>
        <w:trHeight w:val="280"/>
      </w:trPr>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C507E1" w:rsidRPr="0007658A" w:rsidP="00114D98">
          <w:pPr>
            <w:pStyle w:val="Header"/>
            <w:ind w:left="34" w:right="-57" w:hanging="34"/>
            <w:jc w:val="center"/>
            <w:rPr>
              <w:b/>
              <w:sz w:val="16"/>
              <w:szCs w:val="16"/>
            </w:rPr>
          </w:pPr>
          <w:r>
            <w:rPr>
              <w:b/>
              <w:noProof/>
              <w:sz w:val="16"/>
              <w:szCs w:val="16"/>
            </w:rPr>
            <w:drawing>
              <wp:inline distT="0" distB="0" distL="0" distR="0">
                <wp:extent cx="952500" cy="523875"/>
                <wp:effectExtent l="0" t="0" r="0" b="9525"/>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63005" cy="529653"/>
                        </a:xfrm>
                        <a:prstGeom prst="rect">
                          <a:avLst/>
                        </a:prstGeom>
                        <a:noFill/>
                        <a:ln>
                          <a:noFill/>
                        </a:ln>
                      </pic:spPr>
                    </pic:pic>
                  </a:graphicData>
                </a:graphic>
              </wp:inline>
            </w:drawing>
          </w:r>
        </w:p>
      </w:tc>
      <w:tc>
        <w:tcPr>
          <w:tcW w:w="5244" w:type="dxa"/>
          <w:tcBorders>
            <w:top w:val="single" w:sz="4" w:space="0" w:color="auto"/>
            <w:left w:val="single" w:sz="4" w:space="0" w:color="auto"/>
            <w:bottom w:val="single" w:sz="4" w:space="0" w:color="auto"/>
            <w:right w:val="single" w:sz="4" w:space="0" w:color="auto"/>
          </w:tcBorders>
          <w:vAlign w:val="center"/>
          <w:hideMark/>
        </w:tcPr>
        <w:p w:rsidR="00C507E1" w:rsidRPr="003C3AE0" w:rsidP="00114D98">
          <w:pPr>
            <w:pStyle w:val="Header"/>
            <w:ind w:left="-108" w:right="-108"/>
            <w:jc w:val="center"/>
            <w:rPr>
              <w:b/>
              <w:sz w:val="22"/>
              <w:szCs w:val="28"/>
            </w:rPr>
          </w:pPr>
          <w:r w:rsidRPr="003C3AE0">
            <w:rPr>
              <w:b/>
              <w:sz w:val="22"/>
              <w:szCs w:val="28"/>
            </w:rPr>
            <w:t>MUAYENE GÖZETİM</w:t>
          </w:r>
        </w:p>
        <w:p w:rsidR="00C507E1" w:rsidP="00114D98">
          <w:pPr>
            <w:pStyle w:val="Header"/>
            <w:ind w:left="-108" w:right="-108"/>
            <w:jc w:val="center"/>
            <w:rPr>
              <w:sz w:val="28"/>
              <w:szCs w:val="28"/>
            </w:rPr>
          </w:pPr>
          <w:r w:rsidRPr="003C3AE0">
            <w:rPr>
              <w:b/>
              <w:sz w:val="22"/>
              <w:szCs w:val="28"/>
            </w:rPr>
            <w:t>MERKEZİ BAŞKANLIĞI</w:t>
          </w:r>
        </w:p>
      </w:tc>
      <w:tc>
        <w:tcPr>
          <w:tcW w:w="1276"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66" w:right="-108"/>
            <w:rPr>
              <w:b/>
              <w:sz w:val="18"/>
              <w:szCs w:val="18"/>
            </w:rPr>
          </w:pPr>
          <w:r>
            <w:rPr>
              <w:b/>
              <w:sz w:val="18"/>
              <w:szCs w:val="18"/>
            </w:rPr>
            <w:t>Doküman No</w:t>
          </w:r>
        </w:p>
      </w:tc>
      <w:tc>
        <w:tcPr>
          <w:tcW w:w="2128" w:type="dxa"/>
          <w:gridSpan w:val="3"/>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31" w:right="-108"/>
          </w:pPr>
          <w:r w:rsidRPr="004945B3">
            <w:t>15.03.01.KL.556</w:t>
          </w:r>
        </w:p>
      </w:tc>
    </w:tr>
    <w:tr w:rsidTr="00114D98">
      <w:tblPrEx>
        <w:tblW w:w="10350" w:type="dxa"/>
        <w:tblInd w:w="108" w:type="dxa"/>
        <w:tblLayout w:type="fixed"/>
        <w:tblLook w:val="04A0"/>
      </w:tblPrEx>
      <w:trPr>
        <w:cantSplit/>
        <w:trHeight w:val="34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C507E1" w:rsidP="00114D98">
          <w:pPr>
            <w:rPr>
              <w:b/>
              <w:sz w:val="24"/>
              <w:szCs w:val="24"/>
            </w:rPr>
          </w:pPr>
        </w:p>
      </w:tc>
      <w:tc>
        <w:tcPr>
          <w:tcW w:w="5244" w:type="dxa"/>
          <w:vMerge w:val="restart"/>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108" w:right="-108"/>
            <w:jc w:val="center"/>
            <w:rPr>
              <w:b/>
            </w:rPr>
          </w:pPr>
          <w:r w:rsidRPr="004945B3">
            <w:rPr>
              <w:b/>
            </w:rPr>
            <w:t>TS EN ISO/IEC 17020/Haziran 2012 Uygunluk Değerlendirmesi-Çeşitli Tiplerdeki Muayene Kuruluşlarının İşletimi İçin Şartlar UYGUNLUK DEĞERLENDİRME RAPORU</w:t>
          </w:r>
        </w:p>
      </w:tc>
      <w:tc>
        <w:tcPr>
          <w:tcW w:w="1276"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66" w:right="-108"/>
            <w:rPr>
              <w:b/>
              <w:sz w:val="18"/>
              <w:szCs w:val="18"/>
            </w:rPr>
          </w:pPr>
          <w:r>
            <w:rPr>
              <w:b/>
              <w:sz w:val="18"/>
              <w:szCs w:val="18"/>
            </w:rPr>
            <w:t>Yayın Tarihi</w:t>
          </w:r>
        </w:p>
      </w:tc>
      <w:tc>
        <w:tcPr>
          <w:tcW w:w="2128" w:type="dxa"/>
          <w:gridSpan w:val="3"/>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31" w:right="-108"/>
            <w:rPr>
              <w:sz w:val="18"/>
              <w:szCs w:val="18"/>
            </w:rPr>
          </w:pPr>
          <w:r>
            <w:t>1.09.2015</w:t>
          </w:r>
        </w:p>
      </w:tc>
    </w:tr>
    <w:tr w:rsidTr="00114D98">
      <w:tblPrEx>
        <w:tblW w:w="10350" w:type="dxa"/>
        <w:tblInd w:w="108" w:type="dxa"/>
        <w:tblLayout w:type="fixed"/>
        <w:tblLook w:val="04A0"/>
      </w:tblPrEx>
      <w:trPr>
        <w:cantSplit/>
        <w:trHeight w:val="393"/>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C507E1" w:rsidP="00114D98">
          <w:pPr>
            <w:rPr>
              <w:b/>
              <w:sz w:val="24"/>
              <w:szCs w:val="24"/>
            </w:rPr>
          </w:pPr>
        </w:p>
      </w:tc>
      <w:tc>
        <w:tcPr>
          <w:tcW w:w="5244" w:type="dxa"/>
          <w:vMerge/>
          <w:tcBorders>
            <w:top w:val="single" w:sz="4" w:space="0" w:color="auto"/>
            <w:left w:val="single" w:sz="4" w:space="0" w:color="auto"/>
            <w:bottom w:val="single" w:sz="4" w:space="0" w:color="auto"/>
            <w:right w:val="single" w:sz="4" w:space="0" w:color="auto"/>
          </w:tcBorders>
          <w:vAlign w:val="center"/>
          <w:hideMark/>
        </w:tcPr>
        <w:p w:rsidR="00C507E1" w:rsidP="00114D98">
          <w:pPr>
            <w:rPr>
              <w:b/>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66" w:right="-108"/>
            <w:rPr>
              <w:b/>
              <w:spacing w:val="-14"/>
              <w:sz w:val="18"/>
              <w:szCs w:val="18"/>
            </w:rPr>
          </w:pPr>
          <w:r>
            <w:rPr>
              <w:b/>
              <w:spacing w:val="-14"/>
              <w:sz w:val="18"/>
              <w:szCs w:val="18"/>
            </w:rPr>
            <w:t>Revizyon Tarihi</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rPr>
              <w:sz w:val="18"/>
              <w:szCs w:val="18"/>
            </w:rPr>
          </w:pPr>
          <w:r w:rsidRPr="00693938">
            <w:t>10.11.2015</w:t>
          </w:r>
        </w:p>
      </w:tc>
      <w:tc>
        <w:tcPr>
          <w:tcW w:w="427"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108" w:right="-108"/>
            <w:jc w:val="center"/>
            <w:rPr>
              <w:b/>
              <w:sz w:val="18"/>
              <w:szCs w:val="18"/>
            </w:rPr>
          </w:pPr>
          <w:r>
            <w:rPr>
              <w:b/>
              <w:sz w:val="18"/>
              <w:szCs w:val="18"/>
            </w:rPr>
            <w:t>No</w:t>
          </w:r>
        </w:p>
      </w:tc>
      <w:tc>
        <w:tcPr>
          <w:tcW w:w="567"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108" w:right="-108"/>
            <w:jc w:val="center"/>
            <w:rPr>
              <w:sz w:val="18"/>
              <w:szCs w:val="18"/>
            </w:rPr>
          </w:pPr>
          <w:r w:rsidRPr="004945B3">
            <w:rPr>
              <w:sz w:val="18"/>
              <w:szCs w:val="18"/>
            </w:rPr>
            <w:t>1</w:t>
          </w:r>
        </w:p>
      </w:tc>
    </w:tr>
  </w:tbl>
  <w:p w:rsidR="004945B3" w:rsidRPr="00214D7A" w:rsidP="00214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A770F960"/>
    <w:lvl w:ilvl="0">
      <w:start w:val="0"/>
      <w:numFmt w:val="decimal"/>
      <w:lvlText w:val="*"/>
      <w:lvlJc w:val="left"/>
      <w:pPr>
        <w:ind w:left="0" w:firstLine="0"/>
      </w:pPr>
    </w:lvl>
  </w:abstractNum>
  <w:abstractNum w:abstractNumId="1">
    <w:nsid w:val="01803453"/>
    <w:multiLevelType w:val="hybridMultilevel"/>
    <w:tmpl w:val="36E0B332"/>
    <w:lvl w:ilvl="0">
      <w:start w:val="0"/>
      <w:numFmt w:val="bullet"/>
      <w:lvlText w:val="-"/>
      <w:lvlJc w:val="left"/>
      <w:pPr>
        <w:ind w:left="360" w:hanging="360"/>
      </w:pPr>
      <w:rPr>
        <w:rFonts w:ascii="Arial" w:eastAsia="Times New Roman" w:hAnsi="Arial"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71E277C"/>
    <w:multiLevelType w:val="hybridMultilevel"/>
    <w:tmpl w:val="EB68A7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A534A16"/>
    <w:multiLevelType w:val="hybridMultilevel"/>
    <w:tmpl w:val="87F06EDE"/>
    <w:lvl w:ilvl="0">
      <w:start w:val="1"/>
      <w:numFmt w:val="lowerLetter"/>
      <w:lvlText w:val="%1)"/>
      <w:lvlJc w:val="left"/>
      <w:pPr>
        <w:ind w:left="640" w:hanging="360"/>
      </w:pPr>
      <w:rPr>
        <w:rFonts w:hint="default"/>
      </w:rPr>
    </w:lvl>
    <w:lvl w:ilvl="1">
      <w:start w:val="1"/>
      <w:numFmt w:val="lowerLetter"/>
      <w:lvlText w:val="%2."/>
      <w:lvlJc w:val="left"/>
      <w:pPr>
        <w:ind w:left="1360" w:hanging="360"/>
      </w:pPr>
    </w:lvl>
    <w:lvl w:ilvl="2">
      <w:start w:val="1"/>
      <w:numFmt w:val="lowerRoman"/>
      <w:lvlText w:val="%3."/>
      <w:lvlJc w:val="right"/>
      <w:pPr>
        <w:ind w:left="2080" w:hanging="180"/>
      </w:pPr>
    </w:lvl>
    <w:lvl w:ilvl="3">
      <w:start w:val="1"/>
      <w:numFmt w:val="decimal"/>
      <w:lvlText w:val="%4."/>
      <w:lvlJc w:val="left"/>
      <w:pPr>
        <w:ind w:left="2800" w:hanging="360"/>
      </w:pPr>
    </w:lvl>
    <w:lvl w:ilvl="4">
      <w:start w:val="1"/>
      <w:numFmt w:val="lowerLetter"/>
      <w:lvlText w:val="%5."/>
      <w:lvlJc w:val="left"/>
      <w:pPr>
        <w:ind w:left="3520" w:hanging="360"/>
      </w:pPr>
    </w:lvl>
    <w:lvl w:ilvl="5">
      <w:start w:val="1"/>
      <w:numFmt w:val="lowerRoman"/>
      <w:lvlText w:val="%6."/>
      <w:lvlJc w:val="right"/>
      <w:pPr>
        <w:ind w:left="4240" w:hanging="180"/>
      </w:pPr>
    </w:lvl>
    <w:lvl w:ilvl="6">
      <w:start w:val="1"/>
      <w:numFmt w:val="decimal"/>
      <w:lvlText w:val="%7."/>
      <w:lvlJc w:val="left"/>
      <w:pPr>
        <w:ind w:left="4960" w:hanging="360"/>
      </w:pPr>
    </w:lvl>
    <w:lvl w:ilvl="7">
      <w:start w:val="1"/>
      <w:numFmt w:val="lowerLetter"/>
      <w:lvlText w:val="%8."/>
      <w:lvlJc w:val="left"/>
      <w:pPr>
        <w:ind w:left="5680" w:hanging="360"/>
      </w:pPr>
    </w:lvl>
    <w:lvl w:ilvl="8">
      <w:start w:val="1"/>
      <w:numFmt w:val="lowerRoman"/>
      <w:lvlText w:val="%9."/>
      <w:lvlJc w:val="right"/>
      <w:pPr>
        <w:ind w:left="6400" w:hanging="180"/>
      </w:pPr>
    </w:lvl>
  </w:abstractNum>
  <w:abstractNum w:abstractNumId="4">
    <w:nsid w:val="1809433B"/>
    <w:multiLevelType w:val="hybridMultilevel"/>
    <w:tmpl w:val="CE704310"/>
    <w:lvl w:ilvl="0">
      <w:start w:val="1"/>
      <w:numFmt w:val="bullet"/>
      <w:lvlText w:val="-"/>
      <w:lvlJc w:val="left"/>
      <w:pPr>
        <w:tabs>
          <w:tab w:val="num" w:pos="908"/>
        </w:tabs>
        <w:ind w:left="908" w:hanging="454"/>
      </w:pPr>
    </w:lvl>
    <w:lvl w:ilvl="1">
      <w:start w:val="1"/>
      <w:numFmt w:val="bullet"/>
      <w:lvlText w:val="-"/>
      <w:legacy w:legacy="1" w:legacySpace="0" w:legacyIndent="360"/>
      <w:lvlJc w:val="left"/>
      <w:pPr>
        <w:ind w:left="189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200A6635"/>
    <w:multiLevelType w:val="hybridMultilevel"/>
    <w:tmpl w:val="8E7CCE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49236BB"/>
    <w:multiLevelType w:val="hybridMultilevel"/>
    <w:tmpl w:val="7E645A56"/>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4EF2779"/>
    <w:multiLevelType w:val="multilevel"/>
    <w:tmpl w:val="1602B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59C075B"/>
    <w:multiLevelType w:val="hybridMultilevel"/>
    <w:tmpl w:val="B93A8782"/>
    <w:lvl w:ilvl="0">
      <w:start w:val="0"/>
      <w:numFmt w:val="bullet"/>
      <w:lvlText w:val="-"/>
      <w:lvlJc w:val="left"/>
      <w:pPr>
        <w:ind w:left="360" w:hanging="360"/>
      </w:pPr>
      <w:rPr>
        <w:rFonts w:ascii="Arial" w:eastAsia="Times New Roman" w:hAnsi="Arial"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27B803AB"/>
    <w:multiLevelType w:val="hybridMultilevel"/>
    <w:tmpl w:val="1570C2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CB30422"/>
    <w:multiLevelType w:val="hybridMultilevel"/>
    <w:tmpl w:val="4786739C"/>
    <w:lvl w:ilvl="0">
      <w:start w:val="15"/>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2F8A6DAC"/>
    <w:multiLevelType w:val="hybridMultilevel"/>
    <w:tmpl w:val="E03C0950"/>
    <w:lvl w:ilvl="0">
      <w:start w:val="1"/>
      <w:numFmt w:val="lowerLetter"/>
      <w:lvlText w:val="%1)"/>
      <w:lvlJc w:val="left"/>
      <w:pPr>
        <w:ind w:left="291" w:hanging="360"/>
      </w:pPr>
      <w:rPr>
        <w:rFonts w:hint="default"/>
      </w:rPr>
    </w:lvl>
    <w:lvl w:ilvl="1">
      <w:start w:val="1"/>
      <w:numFmt w:val="lowerLetter"/>
      <w:lvlText w:val="%2."/>
      <w:lvlJc w:val="left"/>
      <w:pPr>
        <w:ind w:left="1011" w:hanging="360"/>
      </w:pPr>
    </w:lvl>
    <w:lvl w:ilvl="2">
      <w:start w:val="1"/>
      <w:numFmt w:val="lowerRoman"/>
      <w:lvlText w:val="%3."/>
      <w:lvlJc w:val="right"/>
      <w:pPr>
        <w:ind w:left="1731" w:hanging="180"/>
      </w:pPr>
    </w:lvl>
    <w:lvl w:ilvl="3">
      <w:start w:val="1"/>
      <w:numFmt w:val="decimal"/>
      <w:lvlText w:val="%4."/>
      <w:lvlJc w:val="left"/>
      <w:pPr>
        <w:ind w:left="2451" w:hanging="360"/>
      </w:pPr>
    </w:lvl>
    <w:lvl w:ilvl="4">
      <w:start w:val="1"/>
      <w:numFmt w:val="lowerLetter"/>
      <w:lvlText w:val="%5."/>
      <w:lvlJc w:val="left"/>
      <w:pPr>
        <w:ind w:left="3171" w:hanging="360"/>
      </w:pPr>
    </w:lvl>
    <w:lvl w:ilvl="5">
      <w:start w:val="1"/>
      <w:numFmt w:val="lowerRoman"/>
      <w:lvlText w:val="%6."/>
      <w:lvlJc w:val="right"/>
      <w:pPr>
        <w:ind w:left="3891" w:hanging="180"/>
      </w:pPr>
    </w:lvl>
    <w:lvl w:ilvl="6">
      <w:start w:val="1"/>
      <w:numFmt w:val="decimal"/>
      <w:lvlText w:val="%7."/>
      <w:lvlJc w:val="left"/>
      <w:pPr>
        <w:ind w:left="4611" w:hanging="360"/>
      </w:pPr>
    </w:lvl>
    <w:lvl w:ilvl="7">
      <w:start w:val="1"/>
      <w:numFmt w:val="lowerLetter"/>
      <w:lvlText w:val="%8."/>
      <w:lvlJc w:val="left"/>
      <w:pPr>
        <w:ind w:left="5331" w:hanging="360"/>
      </w:pPr>
    </w:lvl>
    <w:lvl w:ilvl="8">
      <w:start w:val="1"/>
      <w:numFmt w:val="lowerRoman"/>
      <w:lvlText w:val="%9."/>
      <w:lvlJc w:val="right"/>
      <w:pPr>
        <w:ind w:left="6051" w:hanging="180"/>
      </w:pPr>
    </w:lvl>
  </w:abstractNum>
  <w:abstractNum w:abstractNumId="13">
    <w:nsid w:val="36CD21C1"/>
    <w:multiLevelType w:val="hybridMultilevel"/>
    <w:tmpl w:val="257440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DCF73F8"/>
    <w:multiLevelType w:val="hybridMultilevel"/>
    <w:tmpl w:val="93B051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3F392DAB"/>
    <w:multiLevelType w:val="hybridMultilevel"/>
    <w:tmpl w:val="477CF32C"/>
    <w:lvl w:ilvl="0">
      <w:start w:val="1"/>
      <w:numFmt w:val="bullet"/>
      <w:lvlText w:val="-"/>
      <w:lvlJc w:val="left"/>
      <w:pPr>
        <w:tabs>
          <w:tab w:val="num" w:pos="454"/>
        </w:tabs>
        <w:ind w:left="454" w:hanging="454"/>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1897358"/>
    <w:multiLevelType w:val="hybridMultilevel"/>
    <w:tmpl w:val="BBA4332C"/>
    <w:lvl w:ilvl="0">
      <w:start w:va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4CD394A"/>
    <w:multiLevelType w:val="multilevel"/>
    <w:tmpl w:val="31003136"/>
    <w:lvl w:ilvl="0">
      <w:start w:val="1"/>
      <w:numFmt w:val="lowerLetter"/>
      <w:lvlText w:val="%1)"/>
      <w:legacy w:legacy="1" w:legacySpace="0" w:legacyIndent="360"/>
      <w:lvlJc w:val="left"/>
      <w:pPr>
        <w:ind w:left="360" w:hanging="360"/>
      </w:pPr>
      <w:rPr>
        <w:rFonts w:ascii="Arial" w:hAnsi="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AC06BAC"/>
    <w:multiLevelType w:val="hybridMultilevel"/>
    <w:tmpl w:val="4A6EC9B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C397A6B"/>
    <w:multiLevelType w:val="hybridMultilevel"/>
    <w:tmpl w:val="3DDEC6B2"/>
    <w:lvl w:ilvl="0">
      <w:start w:val="0"/>
      <w:numFmt w:val="bullet"/>
      <w:lvlText w:val="-"/>
      <w:lvlJc w:val="left"/>
      <w:pPr>
        <w:ind w:left="720" w:hanging="360"/>
      </w:pPr>
      <w:rPr>
        <w:rFonts w:ascii="Arial" w:eastAsia="SimSu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18176E1"/>
    <w:multiLevelType w:val="multilevel"/>
    <w:tmpl w:val="D13A405E"/>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5B144E44"/>
    <w:multiLevelType w:val="hybridMultilevel"/>
    <w:tmpl w:val="9ED4D3B6"/>
    <w:lvl w:ilvl="0">
      <w:start w:val="1"/>
      <w:numFmt w:val="bullet"/>
      <w:lvlText w:val="-"/>
      <w:lvlJc w:val="left"/>
      <w:pPr>
        <w:tabs>
          <w:tab w:val="num" w:pos="908"/>
        </w:tabs>
        <w:ind w:left="908" w:hanging="454"/>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FA3379D"/>
    <w:multiLevelType w:val="hybridMultilevel"/>
    <w:tmpl w:val="6884FD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60142A33"/>
    <w:multiLevelType w:val="hybridMultilevel"/>
    <w:tmpl w:val="8BD02E8C"/>
    <w:lvl w:ilvl="0">
      <w:start w:val="1"/>
      <w:numFmt w:val="lowerLetter"/>
      <w:lvlText w:val="%1)"/>
      <w:lvlJc w:val="left"/>
      <w:pPr>
        <w:ind w:left="291" w:hanging="360"/>
      </w:pPr>
      <w:rPr>
        <w:rFonts w:hint="default"/>
      </w:rPr>
    </w:lvl>
    <w:lvl w:ilvl="1">
      <w:start w:val="1"/>
      <w:numFmt w:val="lowerLetter"/>
      <w:lvlText w:val="%2."/>
      <w:lvlJc w:val="left"/>
      <w:pPr>
        <w:ind w:left="1011" w:hanging="360"/>
      </w:pPr>
    </w:lvl>
    <w:lvl w:ilvl="2">
      <w:start w:val="1"/>
      <w:numFmt w:val="lowerRoman"/>
      <w:lvlText w:val="%3."/>
      <w:lvlJc w:val="right"/>
      <w:pPr>
        <w:ind w:left="1731" w:hanging="180"/>
      </w:pPr>
    </w:lvl>
    <w:lvl w:ilvl="3">
      <w:start w:val="1"/>
      <w:numFmt w:val="decimal"/>
      <w:lvlText w:val="%4."/>
      <w:lvlJc w:val="left"/>
      <w:pPr>
        <w:ind w:left="2451" w:hanging="360"/>
      </w:pPr>
    </w:lvl>
    <w:lvl w:ilvl="4">
      <w:start w:val="1"/>
      <w:numFmt w:val="lowerLetter"/>
      <w:lvlText w:val="%5."/>
      <w:lvlJc w:val="left"/>
      <w:pPr>
        <w:ind w:left="3171" w:hanging="360"/>
      </w:pPr>
    </w:lvl>
    <w:lvl w:ilvl="5">
      <w:start w:val="1"/>
      <w:numFmt w:val="lowerRoman"/>
      <w:lvlText w:val="%6."/>
      <w:lvlJc w:val="right"/>
      <w:pPr>
        <w:ind w:left="3891" w:hanging="180"/>
      </w:pPr>
    </w:lvl>
    <w:lvl w:ilvl="6">
      <w:start w:val="1"/>
      <w:numFmt w:val="decimal"/>
      <w:lvlText w:val="%7."/>
      <w:lvlJc w:val="left"/>
      <w:pPr>
        <w:ind w:left="4611" w:hanging="360"/>
      </w:pPr>
    </w:lvl>
    <w:lvl w:ilvl="7">
      <w:start w:val="1"/>
      <w:numFmt w:val="lowerLetter"/>
      <w:lvlText w:val="%8."/>
      <w:lvlJc w:val="left"/>
      <w:pPr>
        <w:ind w:left="5331" w:hanging="360"/>
      </w:pPr>
    </w:lvl>
    <w:lvl w:ilvl="8">
      <w:start w:val="1"/>
      <w:numFmt w:val="lowerRoman"/>
      <w:lvlText w:val="%9."/>
      <w:lvlJc w:val="right"/>
      <w:pPr>
        <w:ind w:left="6051" w:hanging="180"/>
      </w:pPr>
    </w:lvl>
  </w:abstractNum>
  <w:abstractNum w:abstractNumId="24">
    <w:nsid w:val="64B008D2"/>
    <w:multiLevelType w:val="multilevel"/>
    <w:tmpl w:val="31003136"/>
    <w:lvl w:ilvl="0">
      <w:start w:val="1"/>
      <w:numFmt w:val="lowerLetter"/>
      <w:lvlText w:val="%1)"/>
      <w:legacy w:legacy="1" w:legacySpace="0" w:legacyIndent="360"/>
      <w:lvlJc w:val="left"/>
      <w:pPr>
        <w:ind w:left="360" w:hanging="360"/>
      </w:pPr>
      <w:rPr>
        <w:rFonts w:ascii="Arial" w:hAnsi="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688D4296"/>
    <w:multiLevelType w:val="hybridMultilevel"/>
    <w:tmpl w:val="6352E0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nsid w:val="6CB225D9"/>
    <w:multiLevelType w:val="hybridMultilevel"/>
    <w:tmpl w:val="6A8A9E28"/>
    <w:lvl w:ilvl="0">
      <w:start w:val="1"/>
      <w:numFmt w:val="bullet"/>
      <w:lvlText w:val="-"/>
      <w:lvlJc w:val="left"/>
      <w:pPr>
        <w:tabs>
          <w:tab w:val="num" w:pos="454"/>
        </w:tabs>
        <w:ind w:left="454" w:hanging="454"/>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6DCE4414"/>
    <w:multiLevelType w:val="multilevel"/>
    <w:tmpl w:val="34AAEA46"/>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6F1B3D48"/>
    <w:multiLevelType w:val="hybridMultilevel"/>
    <w:tmpl w:val="468E10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75325606"/>
    <w:multiLevelType w:val="hybridMultilevel"/>
    <w:tmpl w:val="D9288910"/>
    <w:lvl w:ilvl="0">
      <w:start w:val="0"/>
      <w:numFmt w:val="bullet"/>
      <w:lvlText w:val="-"/>
      <w:lvlJc w:val="left"/>
      <w:pPr>
        <w:ind w:left="720" w:hanging="360"/>
      </w:pPr>
      <w:rPr>
        <w:rFonts w:ascii="Arial" w:eastAsia="SimSu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2"/>
  </w:num>
  <w:num w:numId="4">
    <w:abstractNumId w:val="11"/>
  </w:num>
  <w:num w:numId="5">
    <w:abstractNumId w:val="6"/>
  </w:num>
  <w:num w:numId="6">
    <w:abstractNumId w:val="15"/>
  </w:num>
  <w:num w:numId="7">
    <w:abstractNumId w:val="1"/>
  </w:num>
  <w:num w:numId="8">
    <w:abstractNumId w:val="22"/>
  </w:num>
  <w:num w:numId="9">
    <w:abstractNumId w:val="14"/>
  </w:num>
  <w:num w:numId="10">
    <w:abstractNumId w:val="28"/>
  </w:num>
  <w:num w:numId="11">
    <w:abstractNumId w:val="13"/>
  </w:num>
  <w:num w:numId="12">
    <w:abstractNumId w:val="25"/>
  </w:num>
  <w:num w:numId="13">
    <w:abstractNumId w:val="23"/>
  </w:num>
  <w:num w:numId="14">
    <w:abstractNumId w:val="12"/>
  </w:num>
  <w:num w:numId="15">
    <w:abstractNumId w:val="18"/>
  </w:num>
  <w:num w:numId="16">
    <w:abstractNumId w:val="3"/>
  </w:num>
  <w:num w:numId="1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lvl w:ilvl="0">
        <w:start w:val="0"/>
        <w:numFmt w:val="bullet"/>
        <w:lvlText w:val="-"/>
        <w:legacy w:legacy="1" w:legacySpace="0" w:legacyIndent="360"/>
        <w:lvlJc w:val="left"/>
        <w:pPr>
          <w:ind w:left="360" w:hanging="360"/>
        </w:pPr>
      </w:lvl>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7"/>
  </w:num>
  <w:num w:numId="23">
    <w:abstractNumId w:val="10"/>
  </w:num>
  <w:num w:numId="24">
    <w:abstractNumId w:val="20"/>
  </w:num>
  <w:num w:numId="25">
    <w:abstractNumId w:val="16"/>
  </w:num>
  <w:num w:numId="26">
    <w:abstractNumId w:val="29"/>
  </w:num>
  <w:num w:numId="27">
    <w:abstractNumId w:val="19"/>
  </w:num>
  <w:num w:numId="28">
    <w:abstractNumId w:val="17"/>
  </w:num>
  <w:num w:numId="29">
    <w:abstractNumId w:val="24"/>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021B1"/>
    <w:rsid w:val="00002520"/>
    <w:rsid w:val="00002CB8"/>
    <w:rsid w:val="000127E0"/>
    <w:rsid w:val="00040096"/>
    <w:rsid w:val="0007658A"/>
    <w:rsid w:val="00094A10"/>
    <w:rsid w:val="000B6779"/>
    <w:rsid w:val="00114D98"/>
    <w:rsid w:val="001B0562"/>
    <w:rsid w:val="001B47C7"/>
    <w:rsid w:val="001C280B"/>
    <w:rsid w:val="001C50C4"/>
    <w:rsid w:val="00214D7A"/>
    <w:rsid w:val="0023691D"/>
    <w:rsid w:val="00273C87"/>
    <w:rsid w:val="00281C59"/>
    <w:rsid w:val="002A7797"/>
    <w:rsid w:val="002B16CA"/>
    <w:rsid w:val="002B3D8D"/>
    <w:rsid w:val="002C5B2A"/>
    <w:rsid w:val="0031342E"/>
    <w:rsid w:val="003207D8"/>
    <w:rsid w:val="00322D88"/>
    <w:rsid w:val="003A79B6"/>
    <w:rsid w:val="003B3509"/>
    <w:rsid w:val="003C3AE0"/>
    <w:rsid w:val="004176BB"/>
    <w:rsid w:val="00421D91"/>
    <w:rsid w:val="004251D9"/>
    <w:rsid w:val="00452633"/>
    <w:rsid w:val="0047416C"/>
    <w:rsid w:val="00482433"/>
    <w:rsid w:val="00482E1E"/>
    <w:rsid w:val="00491612"/>
    <w:rsid w:val="004945B3"/>
    <w:rsid w:val="00496FD2"/>
    <w:rsid w:val="004B1A8C"/>
    <w:rsid w:val="004E2C1B"/>
    <w:rsid w:val="004F0544"/>
    <w:rsid w:val="004F095D"/>
    <w:rsid w:val="004F2BEF"/>
    <w:rsid w:val="00552E0F"/>
    <w:rsid w:val="005820E6"/>
    <w:rsid w:val="00594BD2"/>
    <w:rsid w:val="00635367"/>
    <w:rsid w:val="0065654D"/>
    <w:rsid w:val="00693938"/>
    <w:rsid w:val="006D3812"/>
    <w:rsid w:val="007120F8"/>
    <w:rsid w:val="007332C3"/>
    <w:rsid w:val="00746096"/>
    <w:rsid w:val="0075365F"/>
    <w:rsid w:val="007537B8"/>
    <w:rsid w:val="00784ABE"/>
    <w:rsid w:val="00787C48"/>
    <w:rsid w:val="007A4355"/>
    <w:rsid w:val="007A6BE7"/>
    <w:rsid w:val="007B5ED4"/>
    <w:rsid w:val="007E05AF"/>
    <w:rsid w:val="00894CBE"/>
    <w:rsid w:val="008C2F2A"/>
    <w:rsid w:val="008C3298"/>
    <w:rsid w:val="008F5F13"/>
    <w:rsid w:val="00934B7F"/>
    <w:rsid w:val="00957EAC"/>
    <w:rsid w:val="00967122"/>
    <w:rsid w:val="0097330F"/>
    <w:rsid w:val="00981F0B"/>
    <w:rsid w:val="009A01A7"/>
    <w:rsid w:val="009D56C0"/>
    <w:rsid w:val="009F3FD0"/>
    <w:rsid w:val="00A34A3F"/>
    <w:rsid w:val="00A45553"/>
    <w:rsid w:val="00A87D2D"/>
    <w:rsid w:val="00B30304"/>
    <w:rsid w:val="00B70751"/>
    <w:rsid w:val="00B7403B"/>
    <w:rsid w:val="00B767FB"/>
    <w:rsid w:val="00BD3B57"/>
    <w:rsid w:val="00C0375C"/>
    <w:rsid w:val="00C07690"/>
    <w:rsid w:val="00C137C5"/>
    <w:rsid w:val="00C21290"/>
    <w:rsid w:val="00C45544"/>
    <w:rsid w:val="00C507E1"/>
    <w:rsid w:val="00C56ED7"/>
    <w:rsid w:val="00C91651"/>
    <w:rsid w:val="00CF7210"/>
    <w:rsid w:val="00D270AC"/>
    <w:rsid w:val="00D40CC5"/>
    <w:rsid w:val="00D72D78"/>
    <w:rsid w:val="00D82956"/>
    <w:rsid w:val="00D9078E"/>
    <w:rsid w:val="00DC5750"/>
    <w:rsid w:val="00E04F0C"/>
    <w:rsid w:val="00E37AC1"/>
    <w:rsid w:val="00E542FA"/>
    <w:rsid w:val="00E82BCF"/>
    <w:rsid w:val="00EE2D72"/>
    <w:rsid w:val="00F86BBA"/>
    <w:rsid w:val="00F918C8"/>
    <w:rsid w:val="00FA316A"/>
    <w:rsid w:val="00FE0978"/>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paragraph" w:styleId="Heading1">
    <w:name w:val="heading 1"/>
    <w:aliases w:val="1 Heading,Ba?lyk 1 Char,baslık 1"/>
    <w:basedOn w:val="Normal"/>
    <w:next w:val="Normal"/>
    <w:link w:val="Balk1Char"/>
    <w:qFormat/>
    <w:rsid w:val="001C50C4"/>
    <w:pPr>
      <w:keepNext/>
      <w:tabs>
        <w:tab w:val="left" w:pos="567"/>
      </w:tabs>
      <w:overflowPunct w:val="0"/>
      <w:autoSpaceDE w:val="0"/>
      <w:autoSpaceDN w:val="0"/>
      <w:adjustRightInd w:val="0"/>
      <w:textAlignment w:val="baseline"/>
      <w:outlineLvl w:val="0"/>
    </w:pPr>
    <w:rPr>
      <w:rFonts w:ascii="Arial" w:eastAsia="SimSun" w:hAnsi="Arial"/>
      <w:b/>
      <w:bCs/>
      <w:sz w:val="28"/>
      <w:lang w:val="en-US" w:eastAsia="en-US"/>
    </w:rPr>
  </w:style>
  <w:style w:type="paragraph" w:styleId="Heading2">
    <w:name w:val="heading 2"/>
    <w:aliases w:val="Başlık 2 Char Char Char Char Char"/>
    <w:basedOn w:val="Normal"/>
    <w:next w:val="Normal"/>
    <w:link w:val="Balk2Char"/>
    <w:qFormat/>
    <w:rsid w:val="001C50C4"/>
    <w:pPr>
      <w:keepNext/>
      <w:tabs>
        <w:tab w:val="left" w:pos="567"/>
      </w:tabs>
      <w:autoSpaceDE w:val="0"/>
      <w:autoSpaceDN w:val="0"/>
      <w:outlineLvl w:val="1"/>
    </w:pPr>
    <w:rPr>
      <w:rFonts w:ascii="Arial" w:eastAsia="SimSun" w:hAnsi="Arial" w:cs="Arial"/>
      <w:b/>
      <w:bCs/>
      <w:iCs/>
      <w:color w:val="000000"/>
      <w:sz w:val="24"/>
      <w:szCs w:val="28"/>
      <w:lang w:val="en-US" w:eastAsia="zh-CN"/>
    </w:rPr>
  </w:style>
  <w:style w:type="paragraph" w:styleId="Heading3">
    <w:name w:val="heading 3"/>
    <w:basedOn w:val="Normal"/>
    <w:next w:val="Normal"/>
    <w:link w:val="Balk3Char"/>
    <w:uiPriority w:val="9"/>
    <w:unhideWhenUsed/>
    <w:qFormat/>
    <w:rsid w:val="001C50C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aliases w:val="1 Heading Char,Ba?lyk 1 Char Char,baslık 1 Char"/>
    <w:basedOn w:val="DefaultParagraphFont"/>
    <w:link w:val="Heading1"/>
    <w:rsid w:val="001C50C4"/>
    <w:rPr>
      <w:rFonts w:ascii="Arial" w:eastAsia="SimSun" w:hAnsi="Arial" w:cs="Times New Roman"/>
      <w:b/>
      <w:bCs/>
      <w:sz w:val="28"/>
      <w:szCs w:val="20"/>
      <w:lang w:val="en-US"/>
    </w:rPr>
  </w:style>
  <w:style w:type="character" w:customStyle="1" w:styleId="Balk2Char">
    <w:name w:val="Başlık 2 Char"/>
    <w:aliases w:val="Başlık 2 Char Char Char Char Char Char"/>
    <w:basedOn w:val="DefaultParagraphFont"/>
    <w:link w:val="Heading2"/>
    <w:rsid w:val="001C50C4"/>
    <w:rPr>
      <w:rFonts w:ascii="Arial" w:eastAsia="SimSun" w:hAnsi="Arial" w:cs="Arial"/>
      <w:b/>
      <w:bCs/>
      <w:iCs/>
      <w:color w:val="000000"/>
      <w:sz w:val="24"/>
      <w:szCs w:val="28"/>
      <w:lang w:val="en-US" w:eastAsia="zh-CN"/>
    </w:rPr>
  </w:style>
  <w:style w:type="character" w:customStyle="1" w:styleId="Balk3Char">
    <w:name w:val="Başlık 3 Char"/>
    <w:basedOn w:val="DefaultParagraphFont"/>
    <w:link w:val="Heading3"/>
    <w:uiPriority w:val="9"/>
    <w:rsid w:val="001C50C4"/>
    <w:rPr>
      <w:rFonts w:asciiTheme="majorHAnsi" w:eastAsiaTheme="majorEastAsia" w:hAnsiTheme="majorHAnsi" w:cstheme="majorBidi"/>
      <w:color w:val="243F60" w:themeColor="accent1" w:themeShade="7F"/>
      <w:sz w:val="24"/>
      <w:szCs w:val="24"/>
      <w:lang w:eastAsia="tr-TR"/>
    </w:rPr>
  </w:style>
  <w:style w:type="paragraph" w:styleId="ListParagraph">
    <w:name w:val="List Paragraph"/>
    <w:basedOn w:val="Normal"/>
    <w:uiPriority w:val="34"/>
    <w:qFormat/>
    <w:rsid w:val="001C50C4"/>
    <w:pPr>
      <w:ind w:left="720"/>
      <w:contextualSpacing/>
    </w:pPr>
  </w:style>
  <w:style w:type="paragraph" w:styleId="BodyText2">
    <w:name w:val="Body Text 2"/>
    <w:basedOn w:val="Normal"/>
    <w:link w:val="GvdeMetni2Char"/>
    <w:uiPriority w:val="99"/>
    <w:semiHidden/>
    <w:unhideWhenUsed/>
    <w:rsid w:val="001C50C4"/>
    <w:pPr>
      <w:spacing w:after="120" w:line="480" w:lineRule="auto"/>
    </w:pPr>
  </w:style>
  <w:style w:type="character" w:customStyle="1" w:styleId="GvdeMetni2Char">
    <w:name w:val="Gövde Metni 2 Char"/>
    <w:basedOn w:val="DefaultParagraphFont"/>
    <w:link w:val="BodyText2"/>
    <w:uiPriority w:val="99"/>
    <w:semiHidden/>
    <w:rsid w:val="001C50C4"/>
    <w:rPr>
      <w:rFonts w:ascii="Times New Roman" w:eastAsia="Times New Roman" w:hAnsi="Times New Roman" w:cs="Times New Roman"/>
      <w:sz w:val="20"/>
      <w:szCs w:val="20"/>
      <w:lang w:eastAsia="tr-TR"/>
    </w:rPr>
  </w:style>
  <w:style w:type="table" w:styleId="TableGrid">
    <w:name w:val="Table Grid"/>
    <w:basedOn w:val="TableNormal"/>
    <w:uiPriority w:val="59"/>
    <w:rsid w:val="001C5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C50C4"/>
    <w:pPr>
      <w:spacing w:after="0" w:line="240" w:lineRule="auto"/>
    </w:pPr>
    <w:rPr>
      <w:rFonts w:eastAsia="Times New Roman"/>
      <w:lang w:eastAsia="tr-TR"/>
    </w:rPr>
    <w:tblPr>
      <w:tblCellMar>
        <w:top w:w="0" w:type="dxa"/>
        <w:left w:w="0" w:type="dxa"/>
        <w:bottom w:w="0" w:type="dxa"/>
        <w:right w:w="0" w:type="dxa"/>
      </w:tblCellMar>
    </w:tblPr>
  </w:style>
  <w:style w:type="character" w:customStyle="1" w:styleId="longtext">
    <w:name w:val="long_text"/>
    <w:rsid w:val="001C50C4"/>
  </w:style>
  <w:style w:type="paragraph" w:styleId="CommentText">
    <w:name w:val="annotation text"/>
    <w:basedOn w:val="Normal"/>
    <w:link w:val="AklamaMetniChar"/>
    <w:semiHidden/>
    <w:rsid w:val="004B1A8C"/>
    <w:pPr>
      <w:overflowPunct w:val="0"/>
      <w:autoSpaceDE w:val="0"/>
      <w:autoSpaceDN w:val="0"/>
      <w:adjustRightInd w:val="0"/>
      <w:textAlignment w:val="baseline"/>
    </w:pPr>
    <w:rPr>
      <w:lang w:val="en-US"/>
    </w:rPr>
  </w:style>
  <w:style w:type="character" w:customStyle="1" w:styleId="AklamaMetniChar">
    <w:name w:val="Açıklama Metni Char"/>
    <w:basedOn w:val="DefaultParagraphFont"/>
    <w:link w:val="CommentText"/>
    <w:semiHidden/>
    <w:rsid w:val="004B1A8C"/>
    <w:rPr>
      <w:rFonts w:ascii="Times New Roman" w:eastAsia="Times New Roman" w:hAnsi="Times New Roman" w:cs="Times New Roman"/>
      <w:sz w:val="20"/>
      <w:szCs w:val="20"/>
      <w:lang w:val="en-US" w:eastAsia="tr-TR"/>
    </w:rPr>
  </w:style>
  <w:style w:type="character" w:customStyle="1" w:styleId="Heading3Char">
    <w:name w:val="Heading 3 Char"/>
    <w:rsid w:val="004B1A8C"/>
    <w:rPr>
      <w:rFonts w:ascii="Arial" w:hAnsi="Arial"/>
      <w:b/>
      <w:bCs/>
      <w:sz w:val="22"/>
      <w:lang w:val="tr-TR" w:eastAsia="en-US" w:bidi="ar-SA"/>
    </w:rPr>
  </w:style>
  <w:style w:type="character" w:styleId="Strong">
    <w:name w:val="Strong"/>
    <w:qFormat/>
    <w:rsid w:val="004B1A8C"/>
    <w:rPr>
      <w:b/>
      <w:bCs/>
    </w:rPr>
  </w:style>
  <w:style w:type="character" w:customStyle="1" w:styleId="heading3char0">
    <w:name w:val="heading3char"/>
    <w:rsid w:val="004B1A8C"/>
    <w:rPr>
      <w:rFonts w:ascii="Arial" w:hAnsi="Arial" w:cs="Arial" w:hint="default"/>
      <w:b/>
      <w:bCs/>
    </w:rPr>
  </w:style>
  <w:style w:type="character" w:customStyle="1" w:styleId="spelle">
    <w:name w:val="spelle"/>
    <w:basedOn w:val="DefaultParagraphFont"/>
    <w:rsid w:val="004B1A8C"/>
  </w:style>
  <w:style w:type="paragraph" w:styleId="BodyTextIndent">
    <w:name w:val="Body Text Indent"/>
    <w:basedOn w:val="Normal"/>
    <w:link w:val="GvdeMetniGirintisiChar"/>
    <w:uiPriority w:val="99"/>
    <w:semiHidden/>
    <w:unhideWhenUsed/>
    <w:rsid w:val="00E37AC1"/>
    <w:pPr>
      <w:spacing w:after="120"/>
      <w:ind w:left="283"/>
    </w:pPr>
  </w:style>
  <w:style w:type="character" w:customStyle="1" w:styleId="GvdeMetniGirintisiChar">
    <w:name w:val="Gövde Metni Girintisi Char"/>
    <w:basedOn w:val="DefaultParagraphFont"/>
    <w:link w:val="BodyTextIndent"/>
    <w:uiPriority w:val="99"/>
    <w:semiHidden/>
    <w:rsid w:val="00E37AC1"/>
    <w:rPr>
      <w:rFonts w:ascii="Times New Roman" w:eastAsia="Times New Roman" w:hAnsi="Times New Roman" w:cs="Times New Roman"/>
      <w:sz w:val="20"/>
      <w:szCs w:val="20"/>
      <w:lang w:eastAsia="tr-TR"/>
    </w:rPr>
  </w:style>
  <w:style w:type="paragraph" w:customStyle="1" w:styleId="StyleHeading2Left">
    <w:name w:val="Style Heading 2 + Left"/>
    <w:basedOn w:val="Heading2"/>
    <w:rsid w:val="00C137C5"/>
    <w:pPr>
      <w:widowControl w:val="0"/>
      <w:adjustRightInd w:val="0"/>
    </w:pPr>
    <w:rPr>
      <w:bCs w:val="0"/>
      <w:iCs w:val="0"/>
      <w:color w:val="auto"/>
      <w:lang w:val="tr-TR" w:eastAsia="en-US"/>
    </w:rPr>
  </w:style>
  <w:style w:type="character" w:customStyle="1" w:styleId="style291">
    <w:name w:val="style291"/>
    <w:rsid w:val="00C137C5"/>
    <w:rPr>
      <w:color w:val="FF6666"/>
    </w:rPr>
  </w:style>
  <w:style w:type="paragraph" w:styleId="BodyText3">
    <w:name w:val="Body Text 3"/>
    <w:basedOn w:val="Normal"/>
    <w:link w:val="GvdeMetni3Char"/>
    <w:uiPriority w:val="99"/>
    <w:unhideWhenUsed/>
    <w:rsid w:val="000021B1"/>
    <w:pPr>
      <w:spacing w:after="120"/>
    </w:pPr>
    <w:rPr>
      <w:sz w:val="16"/>
      <w:szCs w:val="16"/>
    </w:rPr>
  </w:style>
  <w:style w:type="character" w:customStyle="1" w:styleId="GvdeMetni3Char">
    <w:name w:val="Gövde Metni 3 Char"/>
    <w:basedOn w:val="DefaultParagraphFont"/>
    <w:link w:val="BodyText3"/>
    <w:uiPriority w:val="99"/>
    <w:rsid w:val="000021B1"/>
    <w:rPr>
      <w:rFonts w:ascii="Times New Roman" w:eastAsia="Times New Roman" w:hAnsi="Times New Roman" w:cs="Times New Roman"/>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11</Pages>
  <Words>3217</Words>
  <Characters>18338</Characters>
  <Application>Microsoft Office Word</Application>
  <DocSecurity>0</DocSecurity>
  <Lines>152</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Murat ÖNAL</cp:lastModifiedBy>
  <cp:revision>19</cp:revision>
  <dcterms:created xsi:type="dcterms:W3CDTF">2015-09-16T19:38:00Z</dcterms:created>
  <dcterms:modified xsi:type="dcterms:W3CDTF">2015-11-10T10:02:00Z</dcterms:modified>
</cp:coreProperties>
</file>