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977E8" w:rsidP="004977E8">
      <w:pPr>
        <w:pStyle w:val="msobodytextindent"/>
        <w:tabs>
          <w:tab w:val="left" w:pos="1620"/>
          <w:tab w:val="left" w:pos="1800"/>
        </w:tabs>
        <w:spacing w:after="0"/>
        <w:ind w:left="0" w:right="180"/>
        <w:jc w:val="both"/>
        <w:rPr>
          <w:b/>
          <w:bCs/>
          <w:noProof/>
          <w:sz w:val="24"/>
          <w:szCs w:val="24"/>
          <w:lang w:val="tr-TR"/>
        </w:rPr>
      </w:pPr>
      <w:r>
        <w:rPr>
          <w:b/>
          <w:bCs/>
          <w:noProof/>
          <w:sz w:val="24"/>
          <w:szCs w:val="24"/>
          <w:lang w:val="tr-TR"/>
        </w:rPr>
        <w:t>1.AMAÇ</w:t>
        <w:tab/>
      </w:r>
    </w:p>
    <w:p w:rsidR="004977E8" w:rsidP="004977E8">
      <w:pPr>
        <w:pStyle w:val="msobodytextindent"/>
        <w:tabs>
          <w:tab w:val="left" w:pos="1620"/>
          <w:tab w:val="left" w:pos="1800"/>
        </w:tabs>
        <w:spacing w:after="0"/>
        <w:ind w:left="0" w:right="180"/>
        <w:jc w:val="both"/>
        <w:rPr>
          <w:noProof/>
          <w:sz w:val="24"/>
          <w:szCs w:val="24"/>
          <w:lang w:val="tr-TR"/>
        </w:rPr>
      </w:pPr>
      <w:r>
        <w:rPr>
          <w:noProof/>
          <w:sz w:val="24"/>
          <w:szCs w:val="24"/>
          <w:lang w:val="tr-TR"/>
        </w:rPr>
        <w:t>Bu doküman Müşteri Dostu Marka (MDM)  ile  Müşteri Dostu Kuruluş (MDK) Markalarının kullanım kurallarını tanımlamak için hazırlanmıştır.</w:t>
      </w:r>
    </w:p>
    <w:p w:rsidR="004977E8" w:rsidP="004977E8">
      <w:pPr>
        <w:pStyle w:val="msobodytextindent2"/>
        <w:tabs>
          <w:tab w:val="left" w:pos="1800"/>
        </w:tabs>
        <w:spacing w:after="0" w:line="240" w:lineRule="auto"/>
        <w:ind w:left="0" w:right="180"/>
        <w:jc w:val="both"/>
        <w:rPr>
          <w:bCs/>
          <w:noProof/>
          <w:sz w:val="24"/>
          <w:szCs w:val="24"/>
          <w:lang w:val="tr-TR"/>
        </w:rPr>
      </w:pPr>
    </w:p>
    <w:p w:rsidR="004977E8" w:rsidP="004977E8">
      <w:pPr>
        <w:pStyle w:val="msobodytextindent2"/>
        <w:tabs>
          <w:tab w:val="left" w:pos="1800"/>
        </w:tabs>
        <w:spacing w:after="0" w:line="240" w:lineRule="auto"/>
        <w:ind w:left="0" w:right="180"/>
        <w:jc w:val="both"/>
        <w:rPr>
          <w:b/>
          <w:noProof/>
          <w:sz w:val="24"/>
          <w:szCs w:val="24"/>
          <w:lang w:val="tr-TR"/>
        </w:rPr>
      </w:pPr>
      <w:r>
        <w:rPr>
          <w:b/>
          <w:noProof/>
          <w:sz w:val="24"/>
          <w:szCs w:val="24"/>
          <w:lang w:val="tr-TR"/>
        </w:rPr>
        <w:t xml:space="preserve">2. KAPSAM </w:t>
        <w:tab/>
        <w:t xml:space="preserve"> </w:t>
      </w:r>
    </w:p>
    <w:p w:rsidR="004977E8" w:rsidP="004977E8">
      <w:pPr>
        <w:pStyle w:val="msobodytextindent2"/>
        <w:tabs>
          <w:tab w:val="left" w:pos="1800"/>
        </w:tabs>
        <w:spacing w:after="0" w:line="240" w:lineRule="auto"/>
        <w:ind w:left="0" w:right="180"/>
        <w:jc w:val="both"/>
        <w:rPr>
          <w:noProof/>
          <w:sz w:val="24"/>
          <w:szCs w:val="24"/>
          <w:lang w:val="tr-TR"/>
        </w:rPr>
      </w:pPr>
      <w:r>
        <w:rPr>
          <w:noProof/>
          <w:sz w:val="24"/>
          <w:szCs w:val="24"/>
          <w:lang w:val="tr-TR"/>
        </w:rPr>
        <w:t>Bu doküman kuruluşları kapsar.</w:t>
      </w:r>
    </w:p>
    <w:p w:rsidR="004977E8" w:rsidP="004977E8">
      <w:pPr>
        <w:tabs>
          <w:tab w:val="left" w:pos="2160"/>
          <w:tab w:val="left" w:pos="2520"/>
          <w:tab w:val="left" w:pos="2700"/>
        </w:tabs>
        <w:ind w:right="180"/>
        <w:jc w:val="both"/>
        <w:rPr>
          <w:bCs/>
          <w:noProof/>
          <w:sz w:val="24"/>
          <w:szCs w:val="24"/>
        </w:rPr>
      </w:pPr>
      <w:bookmarkStart w:id="0" w:name="_GoBack"/>
      <w:bookmarkEnd w:id="0"/>
    </w:p>
    <w:p w:rsidR="004977E8" w:rsidP="004977E8">
      <w:pPr>
        <w:tabs>
          <w:tab w:val="left" w:pos="2160"/>
          <w:tab w:val="left" w:pos="2520"/>
          <w:tab w:val="left" w:pos="2700"/>
        </w:tabs>
        <w:ind w:right="180"/>
        <w:jc w:val="both"/>
        <w:rPr>
          <w:b/>
          <w:bCs/>
          <w:noProof/>
          <w:sz w:val="24"/>
          <w:szCs w:val="24"/>
        </w:rPr>
      </w:pPr>
      <w:r>
        <w:rPr>
          <w:b/>
          <w:bCs/>
          <w:noProof/>
          <w:sz w:val="24"/>
          <w:szCs w:val="24"/>
        </w:rPr>
        <w:t>3. SORUMLULAR</w:t>
        <w:tab/>
      </w:r>
    </w:p>
    <w:p w:rsidR="004977E8" w:rsidP="004977E8">
      <w:pPr>
        <w:tabs>
          <w:tab w:val="left" w:pos="1800"/>
          <w:tab w:val="left" w:pos="2520"/>
        </w:tabs>
        <w:ind w:right="180"/>
        <w:jc w:val="both"/>
        <w:rPr>
          <w:bCs/>
          <w:noProof/>
          <w:sz w:val="24"/>
          <w:szCs w:val="24"/>
        </w:rPr>
      </w:pPr>
      <w:r>
        <w:rPr>
          <w:bCs/>
          <w:noProof/>
          <w:sz w:val="24"/>
          <w:szCs w:val="24"/>
        </w:rPr>
        <w:t xml:space="preserve">Hizmet Belgelendirme Grup Başkanı </w:t>
      </w:r>
    </w:p>
    <w:p w:rsidR="004977E8" w:rsidP="004977E8">
      <w:pPr>
        <w:tabs>
          <w:tab w:val="left" w:pos="1800"/>
          <w:tab w:val="left" w:pos="2520"/>
        </w:tabs>
        <w:ind w:right="180"/>
        <w:jc w:val="both"/>
        <w:rPr>
          <w:bCs/>
          <w:i/>
          <w:noProof/>
          <w:sz w:val="24"/>
          <w:szCs w:val="24"/>
        </w:rPr>
      </w:pPr>
      <w:r>
        <w:rPr>
          <w:bCs/>
          <w:noProof/>
          <w:sz w:val="24"/>
          <w:szCs w:val="24"/>
        </w:rPr>
        <w:t>Hizmet Belgelendirme Birim Amirleri</w:t>
      </w:r>
    </w:p>
    <w:p w:rsidR="004977E8" w:rsidP="004977E8">
      <w:pPr>
        <w:tabs>
          <w:tab w:val="left" w:pos="1800"/>
          <w:tab w:val="left" w:pos="2520"/>
        </w:tabs>
        <w:ind w:right="180"/>
        <w:jc w:val="both"/>
        <w:rPr>
          <w:bCs/>
          <w:noProof/>
          <w:sz w:val="24"/>
          <w:szCs w:val="24"/>
        </w:rPr>
      </w:pPr>
    </w:p>
    <w:p w:rsidR="004977E8" w:rsidP="004977E8">
      <w:pPr>
        <w:tabs>
          <w:tab w:val="left" w:pos="1800"/>
          <w:tab w:val="left" w:pos="2520"/>
        </w:tabs>
        <w:ind w:right="180"/>
        <w:jc w:val="both"/>
        <w:rPr>
          <w:b/>
          <w:bCs/>
          <w:noProof/>
          <w:sz w:val="24"/>
          <w:szCs w:val="24"/>
        </w:rPr>
      </w:pPr>
      <w:r>
        <w:rPr>
          <w:b/>
          <w:bCs/>
          <w:noProof/>
          <w:sz w:val="24"/>
          <w:szCs w:val="24"/>
        </w:rPr>
        <w:t>4. UYGULAMA</w:t>
        <w:tab/>
      </w:r>
    </w:p>
    <w:p w:rsidR="004977E8" w:rsidP="004977E8">
      <w:pPr>
        <w:tabs>
          <w:tab w:val="left" w:pos="1800"/>
          <w:tab w:val="left" w:pos="2520"/>
        </w:tabs>
        <w:ind w:right="180"/>
        <w:jc w:val="both"/>
        <w:rPr>
          <w:bCs/>
          <w:noProof/>
          <w:sz w:val="24"/>
          <w:szCs w:val="24"/>
        </w:rPr>
      </w:pPr>
    </w:p>
    <w:p w:rsidR="004977E8" w:rsidP="004977E8">
      <w:pPr>
        <w:jc w:val="both"/>
        <w:rPr>
          <w:noProof/>
          <w:sz w:val="24"/>
          <w:szCs w:val="24"/>
        </w:rPr>
      </w:pPr>
      <w:r>
        <w:rPr>
          <w:noProof/>
          <w:sz w:val="24"/>
          <w:szCs w:val="24"/>
        </w:rPr>
        <w:t xml:space="preserve">Hizmet Belgelendirme </w:t>
      </w:r>
      <w:r>
        <w:rPr>
          <w:i/>
          <w:noProof/>
          <w:sz w:val="24"/>
          <w:szCs w:val="24"/>
        </w:rPr>
        <w:t xml:space="preserve">Birimleri </w:t>
      </w:r>
      <w:r>
        <w:rPr>
          <w:noProof/>
          <w:sz w:val="24"/>
          <w:szCs w:val="24"/>
        </w:rPr>
        <w:t>tarafından belgelendirilen kuruluşlar belgelerin geçerliliği devam ettiği sürece bu talimat hükümlerine uymakla yükümlüdürler.</w:t>
      </w:r>
    </w:p>
    <w:p w:rsidR="004977E8" w:rsidP="004977E8">
      <w:pPr>
        <w:jc w:val="both"/>
        <w:rPr>
          <w:noProof/>
          <w:sz w:val="24"/>
          <w:szCs w:val="24"/>
        </w:rPr>
      </w:pPr>
    </w:p>
    <w:p w:rsidR="004977E8" w:rsidP="004977E8">
      <w:pPr>
        <w:jc w:val="both"/>
        <w:rPr>
          <w:noProof/>
          <w:sz w:val="24"/>
          <w:szCs w:val="24"/>
        </w:rPr>
      </w:pPr>
      <w:r>
        <w:rPr>
          <w:noProof/>
          <w:sz w:val="24"/>
          <w:szCs w:val="24"/>
        </w:rPr>
        <w:t>Belge kullanım süresi dolan, belgelendirme süreci devam eden ve hiç belgelendirilmemiş kuruluşların bu markaları kullanmaları durumunda uygulanacak usul ve esaslar TSE tarafından ayrıca belirlenerek hukuki süreç çalıştırılır.</w:t>
      </w:r>
    </w:p>
    <w:p w:rsidR="004977E8" w:rsidP="004977E8">
      <w:pPr>
        <w:jc w:val="both"/>
        <w:rPr>
          <w:noProof/>
          <w:sz w:val="24"/>
          <w:szCs w:val="24"/>
        </w:rPr>
      </w:pPr>
    </w:p>
    <w:p w:rsidR="004977E8" w:rsidP="004977E8">
      <w:pPr>
        <w:jc w:val="both"/>
        <w:rPr>
          <w:noProof/>
          <w:sz w:val="24"/>
          <w:szCs w:val="24"/>
        </w:rPr>
      </w:pPr>
      <w:r>
        <w:rPr>
          <w:noProof/>
          <w:sz w:val="24"/>
          <w:szCs w:val="24"/>
        </w:rPr>
        <w:t>Müşteri Dostu Marka (MDM)  belgelendirmelerinde aşağıda belirtilen markalar;</w:t>
      </w:r>
    </w:p>
    <w:p w:rsidR="004977E8" w:rsidP="004977E8">
      <w:pPr>
        <w:jc w:val="both"/>
        <w:rPr>
          <w:noProof/>
          <w:sz w:val="24"/>
          <w:szCs w:val="24"/>
        </w:rPr>
      </w:pPr>
    </w:p>
    <w:p w:rsidR="004977E8" w:rsidP="004977E8">
      <w:pPr>
        <w:ind w:firstLine="1843"/>
        <w:jc w:val="both"/>
        <w:rPr>
          <w:noProof/>
          <w:sz w:val="24"/>
          <w:szCs w:val="24"/>
        </w:rPr>
      </w:pPr>
      <w:r>
        <w:rPr>
          <w:noProof/>
          <w:sz w:val="24"/>
          <w:szCs w:val="24"/>
        </w:rPr>
        <w:drawing>
          <wp:inline distT="0" distB="0" distL="0" distR="0">
            <wp:extent cx="1781175" cy="1781175"/>
            <wp:effectExtent l="0" t="0" r="9525" b="9525"/>
            <wp:docPr id="5" name="Resim 5" descr="müşteri dostu marka 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müşteri dostu marka tr"/>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1175" cy="1781175"/>
                    </a:xfrm>
                    <a:prstGeom prst="rect">
                      <a:avLst/>
                    </a:prstGeom>
                    <a:noFill/>
                    <a:ln>
                      <a:noFill/>
                    </a:ln>
                  </pic:spPr>
                </pic:pic>
              </a:graphicData>
            </a:graphic>
          </wp:inline>
        </w:drawing>
      </w:r>
      <w:r>
        <w:rPr>
          <w:snapToGrid w:val="0"/>
          <w:color w:val="000000"/>
          <w:w w:val="1"/>
          <w:sz w:val="2"/>
          <w:szCs w:val="2"/>
          <w:bdr w:val="none" w:sz="0" w:space="0" w:color="auto" w:frame="1"/>
          <w:shd w:val="clear" w:color="auto" w:fill="000000"/>
        </w:rPr>
        <w:t xml:space="preserve"> </w:t>
      </w:r>
      <w:r>
        <w:rPr>
          <w:noProof/>
          <w:sz w:val="24"/>
          <w:szCs w:val="24"/>
        </w:rPr>
        <w:drawing>
          <wp:inline distT="0" distB="0" distL="0" distR="0">
            <wp:extent cx="1781175" cy="1781175"/>
            <wp:effectExtent l="0" t="0" r="9525" b="9525"/>
            <wp:docPr id="4" name="Resim 4" descr="müşteri dostu ma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müşteri dostu marka"/>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1175" cy="1781175"/>
                    </a:xfrm>
                    <a:prstGeom prst="rect">
                      <a:avLst/>
                    </a:prstGeom>
                    <a:noFill/>
                    <a:ln>
                      <a:noFill/>
                    </a:ln>
                  </pic:spPr>
                </pic:pic>
              </a:graphicData>
            </a:graphic>
          </wp:inline>
        </w:drawing>
      </w:r>
    </w:p>
    <w:p w:rsidR="004977E8" w:rsidP="004977E8">
      <w:pPr>
        <w:jc w:val="both"/>
        <w:rPr>
          <w:noProof/>
          <w:sz w:val="24"/>
          <w:szCs w:val="24"/>
        </w:rPr>
      </w:pPr>
      <w:r>
        <w:rPr>
          <w:noProof/>
          <w:sz w:val="24"/>
          <w:szCs w:val="24"/>
        </w:rPr>
        <w:t>Müşteri Dostu Kuruluş (MDK)  belgelendirmelerinde aşağıda belirtilen markalar;</w:t>
      </w:r>
    </w:p>
    <w:p w:rsidR="004977E8" w:rsidP="004977E8">
      <w:pPr>
        <w:ind w:firstLine="1843"/>
        <w:jc w:val="both"/>
        <w:rPr>
          <w:noProof/>
          <w:sz w:val="24"/>
          <w:szCs w:val="24"/>
        </w:rPr>
      </w:pPr>
      <w:r>
        <w:rPr>
          <w:noProof/>
          <w:sz w:val="24"/>
          <w:szCs w:val="24"/>
        </w:rPr>
        <w:drawing>
          <wp:inline distT="0" distB="0" distL="0" distR="0">
            <wp:extent cx="1800225" cy="1800225"/>
            <wp:effectExtent l="0" t="0" r="9525" b="9525"/>
            <wp:docPr id="3" name="Resim 3" descr="müşteri dostu kuruluş 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üşteri dostu kuruluş tr"/>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0225" cy="1800225"/>
                    </a:xfrm>
                    <a:prstGeom prst="rect">
                      <a:avLst/>
                    </a:prstGeom>
                    <a:noFill/>
                    <a:ln>
                      <a:noFill/>
                    </a:ln>
                  </pic:spPr>
                </pic:pic>
              </a:graphicData>
            </a:graphic>
          </wp:inline>
        </w:drawing>
      </w:r>
      <w:r>
        <w:rPr>
          <w:snapToGrid w:val="0"/>
          <w:color w:val="000000"/>
          <w:w w:val="1"/>
          <w:sz w:val="2"/>
          <w:szCs w:val="2"/>
          <w:bdr w:val="none" w:sz="0" w:space="0" w:color="auto" w:frame="1"/>
          <w:shd w:val="clear" w:color="auto" w:fill="000000"/>
        </w:rPr>
        <w:t xml:space="preserve"> </w:t>
      </w:r>
      <w:r>
        <w:rPr>
          <w:noProof/>
          <w:sz w:val="24"/>
          <w:szCs w:val="24"/>
        </w:rPr>
        <w:drawing>
          <wp:inline distT="0" distB="0" distL="0" distR="0">
            <wp:extent cx="1781175" cy="1781175"/>
            <wp:effectExtent l="0" t="0" r="9525" b="9525"/>
            <wp:docPr id="2" name="Resim 2" descr="müşteri dostu kuru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müşteri dostu kuruluş"/>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1175" cy="1781175"/>
                    </a:xfrm>
                    <a:prstGeom prst="rect">
                      <a:avLst/>
                    </a:prstGeom>
                    <a:noFill/>
                    <a:ln>
                      <a:noFill/>
                    </a:ln>
                  </pic:spPr>
                </pic:pic>
              </a:graphicData>
            </a:graphic>
          </wp:inline>
        </w:drawing>
      </w:r>
    </w:p>
    <w:p w:rsidR="004977E8" w:rsidP="004977E8">
      <w:pPr>
        <w:jc w:val="both"/>
        <w:rPr>
          <w:noProof/>
          <w:sz w:val="24"/>
          <w:szCs w:val="24"/>
        </w:rPr>
      </w:pPr>
      <w:r>
        <w:rPr>
          <w:noProof/>
          <w:sz w:val="24"/>
          <w:szCs w:val="24"/>
        </w:rPr>
        <w:t>kullanılır.</w:t>
      </w:r>
    </w:p>
    <w:p w:rsidR="004977E8" w:rsidP="004977E8">
      <w:pPr>
        <w:jc w:val="both"/>
        <w:rPr>
          <w:noProof/>
          <w:sz w:val="24"/>
          <w:szCs w:val="24"/>
        </w:rPr>
      </w:pPr>
    </w:p>
    <w:p w:rsidR="004977E8" w:rsidP="004977E8">
      <w:pPr>
        <w:jc w:val="both"/>
        <w:rPr>
          <w:noProof/>
          <w:sz w:val="24"/>
          <w:szCs w:val="24"/>
        </w:rPr>
      </w:pPr>
    </w:p>
    <w:p w:rsidR="004977E8" w:rsidP="004977E8">
      <w:pPr>
        <w:jc w:val="both"/>
        <w:rPr>
          <w:noProof/>
          <w:sz w:val="24"/>
          <w:szCs w:val="24"/>
        </w:rPr>
      </w:pPr>
    </w:p>
    <w:p w:rsidR="004977E8" w:rsidP="004977E8">
      <w:pPr>
        <w:jc w:val="both"/>
        <w:rPr>
          <w:bCs/>
          <w:noProof/>
          <w:sz w:val="24"/>
          <w:szCs w:val="24"/>
        </w:rPr>
      </w:pPr>
      <w:r>
        <w:rPr>
          <w:bCs/>
          <w:noProof/>
          <w:sz w:val="24"/>
          <w:szCs w:val="24"/>
        </w:rPr>
        <w:t xml:space="preserve">Müşteri Dostu Marka (MDM)  ile  Müşteri Dostu Kuruluş (MDK) Belgelendirmeleri sonucunda bu belgelendirmelere ait markalar yerine TSE’ye ait diğer hiçbir marka ve işaret kullanılamaz. </w:t>
      </w:r>
    </w:p>
    <w:p w:rsidR="004977E8" w:rsidP="004977E8">
      <w:pPr>
        <w:jc w:val="both"/>
        <w:rPr>
          <w:bCs/>
          <w:noProof/>
          <w:sz w:val="24"/>
          <w:szCs w:val="24"/>
        </w:rPr>
      </w:pPr>
    </w:p>
    <w:p w:rsidR="004977E8" w:rsidP="004977E8">
      <w:pPr>
        <w:jc w:val="both"/>
        <w:rPr>
          <w:bCs/>
          <w:noProof/>
          <w:sz w:val="24"/>
          <w:szCs w:val="24"/>
        </w:rPr>
      </w:pPr>
      <w:r>
        <w:rPr>
          <w:bCs/>
          <w:noProof/>
          <w:sz w:val="24"/>
          <w:szCs w:val="24"/>
        </w:rPr>
        <w:t xml:space="preserve">Bu markalar, belgelendirmelerin TSE tarafından yapıldığını belirtmek amacıyla, TSE markası ile beraber kullanılanılabilir. </w:t>
      </w:r>
    </w:p>
    <w:p w:rsidR="004977E8" w:rsidP="004977E8">
      <w:pPr>
        <w:jc w:val="both"/>
        <w:rPr>
          <w:bCs/>
          <w:noProof/>
          <w:sz w:val="24"/>
          <w:szCs w:val="24"/>
        </w:rPr>
      </w:pPr>
    </w:p>
    <w:p w:rsidR="004977E8" w:rsidP="004977E8">
      <w:pPr>
        <w:jc w:val="both"/>
        <w:rPr>
          <w:noProof/>
          <w:sz w:val="24"/>
          <w:szCs w:val="24"/>
        </w:rPr>
      </w:pPr>
      <w:r>
        <w:rPr>
          <w:noProof/>
          <w:sz w:val="24"/>
          <w:szCs w:val="24"/>
        </w:rPr>
        <w:t>Müşteri Dostu Kuruluş (MDK) ile  Müşteri Dostu Marka (MDM) Belgelerine sahip olan kuruluş nihai ambalaj üzerinde markaları kullanmak isterse “Bu markalar ürün kalitesini değil, kuruluş markası altında, ……………….. standardları (Müşteri Dostu Marka (MDM)  ile  Müşteri Dostu Kuruluş (MDK) Belgeleri üzerinde tanımlanan standardlar)  kapsamında verilen hizmeti temsil eder” ifadesi ile beraber kullanılabilir.</w:t>
      </w:r>
    </w:p>
    <w:p w:rsidR="004977E8" w:rsidP="004977E8">
      <w:pPr>
        <w:jc w:val="both"/>
        <w:rPr>
          <w:noProof/>
          <w:sz w:val="24"/>
          <w:szCs w:val="24"/>
        </w:rPr>
      </w:pPr>
    </w:p>
    <w:p w:rsidR="004977E8" w:rsidP="004977E8">
      <w:pPr>
        <w:jc w:val="both"/>
        <w:rPr>
          <w:bCs/>
          <w:noProof/>
          <w:sz w:val="24"/>
          <w:szCs w:val="24"/>
        </w:rPr>
      </w:pPr>
      <w:r>
        <w:rPr>
          <w:bCs/>
          <w:noProof/>
          <w:sz w:val="24"/>
          <w:szCs w:val="24"/>
        </w:rPr>
        <w:t xml:space="preserve">Aksi durumlarda </w:t>
      </w:r>
      <w:r>
        <w:rPr>
          <w:bCs/>
          <w:i/>
          <w:noProof/>
          <w:sz w:val="24"/>
          <w:szCs w:val="24"/>
        </w:rPr>
        <w:t xml:space="preserve">aşağıda belirtilen düzeltici faaliyetlerden </w:t>
      </w:r>
      <w:r>
        <w:rPr>
          <w:bCs/>
          <w:noProof/>
          <w:sz w:val="24"/>
          <w:szCs w:val="24"/>
        </w:rPr>
        <w:t>birisi uygulanır.</w:t>
      </w:r>
    </w:p>
    <w:p w:rsidR="004977E8" w:rsidP="004977E8">
      <w:pPr>
        <w:tabs>
          <w:tab w:val="num" w:pos="0"/>
        </w:tabs>
        <w:jc w:val="both"/>
        <w:rPr>
          <w:noProof/>
          <w:sz w:val="24"/>
          <w:szCs w:val="24"/>
        </w:rPr>
      </w:pPr>
    </w:p>
    <w:p w:rsidR="004977E8" w:rsidP="004977E8">
      <w:pPr>
        <w:tabs>
          <w:tab w:val="num" w:pos="0"/>
        </w:tabs>
        <w:jc w:val="both"/>
        <w:rPr>
          <w:noProof/>
          <w:sz w:val="24"/>
          <w:szCs w:val="24"/>
        </w:rPr>
      </w:pPr>
      <w:r>
        <w:rPr>
          <w:noProof/>
          <w:sz w:val="24"/>
          <w:szCs w:val="24"/>
        </w:rPr>
        <w:t>Ayrıca, belgelendirilen kuruluşların bu belgeler dışında herhangi bir belgesi mevcutsa (Sistem belgesi, ürün belgesi vb.) bu belgelerin kullanımında anlam karmaşasına yol açacak şekilde marka kullanımından kaçınılmalıdır.</w:t>
      </w:r>
    </w:p>
    <w:p w:rsidR="004977E8" w:rsidP="004977E8">
      <w:pPr>
        <w:tabs>
          <w:tab w:val="num" w:pos="0"/>
        </w:tabs>
        <w:jc w:val="both"/>
        <w:rPr>
          <w:noProof/>
          <w:sz w:val="24"/>
          <w:szCs w:val="24"/>
        </w:rPr>
      </w:pPr>
    </w:p>
    <w:p w:rsidR="004977E8" w:rsidP="004977E8">
      <w:pPr>
        <w:jc w:val="both"/>
        <w:rPr>
          <w:bCs/>
          <w:noProof/>
          <w:sz w:val="24"/>
          <w:szCs w:val="24"/>
        </w:rPr>
      </w:pPr>
      <w:r>
        <w:rPr>
          <w:bCs/>
          <w:noProof/>
          <w:sz w:val="24"/>
          <w:szCs w:val="24"/>
        </w:rPr>
        <w:t>Kuruluş Müşteri Dostu Marka (MDM)  ile  Müşteri Dostu Kuruluş (MDK) Belgeleri içerisinde tanımlanmış standardların veya kriterlerin kapsadığı hizmet alanları dışında yer alan hiçbir faaliyetinde, reklamlarında ve her türlü ortamda bu markaları kullanamaz.</w:t>
      </w:r>
    </w:p>
    <w:p w:rsidR="004977E8" w:rsidP="004977E8">
      <w:pPr>
        <w:tabs>
          <w:tab w:val="num" w:pos="0"/>
        </w:tabs>
        <w:jc w:val="both"/>
        <w:rPr>
          <w:noProof/>
          <w:sz w:val="24"/>
          <w:szCs w:val="24"/>
        </w:rPr>
      </w:pPr>
    </w:p>
    <w:p w:rsidR="004977E8" w:rsidP="004977E8">
      <w:pPr>
        <w:pStyle w:val="BodyText"/>
        <w:rPr>
          <w:bCs/>
          <w:noProof/>
          <w:szCs w:val="24"/>
        </w:rPr>
      </w:pPr>
      <w:r>
        <w:rPr>
          <w:bCs/>
          <w:noProof/>
          <w:szCs w:val="24"/>
        </w:rPr>
        <w:t>Kuruluş sadece Müşteri Dostu Marka (MDM)  ile  Müşteri Dostu Kuruluş (MDK) Belgeleri içerisinde tanımlanmış standardların veya kriterlerin kapsadığı hizmet alanları dahilindeki faaliyetleri için yukarıda belirtilen markasını bu talimat, Belgelendirme Yönergesi ve Müşteri Dostu Kuruluş (MDK) ile Müşteri Dostu Marka (MDM) Belgelendirme Usul ve Esasları’nda belirtilen kurallara uygun kullanabilir.</w:t>
      </w:r>
    </w:p>
    <w:p w:rsidR="008B39C5" w:rsidP="004977E8">
      <w:pPr>
        <w:pStyle w:val="BodyText"/>
        <w:rPr>
          <w:bCs/>
          <w:noProof/>
          <w:szCs w:val="24"/>
        </w:rPr>
      </w:pPr>
    </w:p>
    <w:p w:rsidR="008B39C5" w:rsidRPr="00950653" w:rsidP="004977E8">
      <w:pPr>
        <w:pStyle w:val="BodyText"/>
        <w:rPr>
          <w:b/>
          <w:bCs/>
          <w:noProof/>
          <w:szCs w:val="24"/>
        </w:rPr>
      </w:pPr>
      <w:r w:rsidRPr="00950653">
        <w:rPr>
          <w:b/>
          <w:bCs/>
          <w:noProof/>
          <w:szCs w:val="24"/>
        </w:rPr>
        <w:t xml:space="preserve">Ayrıca; Kuruluş Markasının Belgede tanımlanan Standartlar kapsamı dışında kullanıldığı yerlerde, Kuruluşca reklam ve bilgilendirme amacıyla kullanabilmesi için; </w:t>
      </w:r>
    </w:p>
    <w:p w:rsidR="008B39C5" w:rsidRPr="00950653" w:rsidP="004977E8">
      <w:pPr>
        <w:pStyle w:val="BodyText"/>
        <w:rPr>
          <w:b/>
          <w:bCs/>
          <w:noProof/>
          <w:szCs w:val="24"/>
        </w:rPr>
      </w:pPr>
    </w:p>
    <w:p w:rsidR="008B39C5" w:rsidRPr="00950653" w:rsidP="004977E8">
      <w:pPr>
        <w:pStyle w:val="BodyText"/>
        <w:rPr>
          <w:b/>
          <w:noProof/>
          <w:sz w:val="24"/>
          <w:szCs w:val="24"/>
        </w:rPr>
      </w:pPr>
      <w:r w:rsidRPr="00950653">
        <w:rPr>
          <w:b/>
          <w:bCs/>
          <w:noProof/>
          <w:szCs w:val="24"/>
        </w:rPr>
        <w:t>“Standart Numaraları – Standartların Tam Adları – Kullanım Yeri – Kapsamdaki Markaları” Eksiksiz olarak belirtilmesi şartı ile ana marka tarafından TSE’ ye yazılı olarak bildirilmesi ve onay alınması durumunda kullanılabilir.</w:t>
      </w:r>
    </w:p>
    <w:p w:rsidR="004977E8" w:rsidP="004977E8">
      <w:pPr>
        <w:tabs>
          <w:tab w:val="num" w:pos="0"/>
        </w:tabs>
        <w:jc w:val="both"/>
        <w:rPr>
          <w:noProof/>
          <w:sz w:val="24"/>
          <w:szCs w:val="24"/>
        </w:rPr>
      </w:pPr>
    </w:p>
    <w:p w:rsidR="004977E8" w:rsidP="004977E8">
      <w:pPr>
        <w:jc w:val="both"/>
        <w:rPr>
          <w:bCs/>
          <w:noProof/>
          <w:sz w:val="24"/>
          <w:szCs w:val="24"/>
        </w:rPr>
      </w:pPr>
      <w:r>
        <w:rPr>
          <w:bCs/>
          <w:noProof/>
          <w:sz w:val="24"/>
          <w:szCs w:val="24"/>
        </w:rPr>
        <w:t>Belge sözleşmesinin askıya alınması veya feshedilmesi halinde kuruluş marka kullanımını derhal durdurmalıdır.</w:t>
      </w:r>
    </w:p>
    <w:p w:rsidR="004977E8" w:rsidP="004977E8">
      <w:pPr>
        <w:jc w:val="both"/>
        <w:rPr>
          <w:bCs/>
          <w:noProof/>
          <w:sz w:val="24"/>
          <w:szCs w:val="24"/>
        </w:rPr>
      </w:pPr>
    </w:p>
    <w:p w:rsidR="004977E8" w:rsidP="004977E8">
      <w:pPr>
        <w:jc w:val="both"/>
        <w:rPr>
          <w:bCs/>
          <w:i/>
          <w:noProof/>
          <w:sz w:val="24"/>
          <w:szCs w:val="24"/>
        </w:rPr>
      </w:pPr>
      <w:r>
        <w:rPr>
          <w:bCs/>
          <w:i/>
          <w:noProof/>
          <w:sz w:val="24"/>
          <w:szCs w:val="24"/>
        </w:rPr>
        <w:t xml:space="preserve">Bu durumda belgelendirmeye atıf yapan bütün dokümanları imha etmekle yükümlüdür. </w:t>
      </w:r>
    </w:p>
    <w:p w:rsidR="004977E8" w:rsidP="004977E8">
      <w:pPr>
        <w:tabs>
          <w:tab w:val="num" w:pos="0"/>
        </w:tabs>
        <w:autoSpaceDE w:val="0"/>
        <w:autoSpaceDN w:val="0"/>
        <w:jc w:val="both"/>
        <w:rPr>
          <w:i/>
          <w:noProof/>
          <w:sz w:val="24"/>
          <w:szCs w:val="24"/>
        </w:rPr>
      </w:pPr>
    </w:p>
    <w:p w:rsidR="004977E8" w:rsidP="004977E8">
      <w:pPr>
        <w:jc w:val="both"/>
        <w:rPr>
          <w:bCs/>
          <w:noProof/>
          <w:sz w:val="24"/>
          <w:szCs w:val="24"/>
        </w:rPr>
      </w:pPr>
      <w:r>
        <w:rPr>
          <w:bCs/>
          <w:noProof/>
          <w:sz w:val="24"/>
          <w:szCs w:val="24"/>
        </w:rPr>
        <w:t>Marka kullanımında ortaya çıkabilecek aksaklıklar aşağıdakilerle sınırlı kalmamak kaydıyla belirtilmiştir;</w:t>
      </w:r>
    </w:p>
    <w:p w:rsidR="004977E8" w:rsidP="004977E8">
      <w:pPr>
        <w:tabs>
          <w:tab w:val="num" w:pos="0"/>
        </w:tabs>
        <w:jc w:val="both"/>
        <w:rPr>
          <w:noProof/>
          <w:sz w:val="24"/>
          <w:szCs w:val="24"/>
        </w:rPr>
      </w:pPr>
    </w:p>
    <w:p w:rsidR="004977E8" w:rsidP="004977E8">
      <w:pPr>
        <w:numPr>
          <w:ilvl w:val="0"/>
          <w:numId w:val="4"/>
        </w:numPr>
        <w:jc w:val="both"/>
        <w:rPr>
          <w:noProof/>
          <w:sz w:val="24"/>
          <w:szCs w:val="24"/>
        </w:rPr>
      </w:pPr>
      <w:r>
        <w:rPr>
          <w:noProof/>
          <w:sz w:val="24"/>
          <w:szCs w:val="24"/>
        </w:rPr>
        <w:t>Verilen hizmetten tehlike ortaya çıkması,</w:t>
      </w:r>
    </w:p>
    <w:p w:rsidR="004977E8" w:rsidP="004977E8">
      <w:pPr>
        <w:numPr>
          <w:ilvl w:val="0"/>
          <w:numId w:val="4"/>
        </w:numPr>
        <w:jc w:val="both"/>
        <w:rPr>
          <w:noProof/>
          <w:sz w:val="24"/>
          <w:szCs w:val="24"/>
        </w:rPr>
      </w:pPr>
      <w:r>
        <w:rPr>
          <w:noProof/>
          <w:sz w:val="24"/>
          <w:szCs w:val="24"/>
        </w:rPr>
        <w:t xml:space="preserve">Markanın itibarını tehlikeye düşürecek şekilde kullanılması, </w:t>
      </w:r>
    </w:p>
    <w:p w:rsidR="004977E8" w:rsidP="004977E8">
      <w:pPr>
        <w:numPr>
          <w:ilvl w:val="0"/>
          <w:numId w:val="4"/>
        </w:numPr>
        <w:jc w:val="both"/>
        <w:rPr>
          <w:noProof/>
          <w:sz w:val="24"/>
          <w:szCs w:val="24"/>
        </w:rPr>
      </w:pPr>
      <w:r>
        <w:rPr>
          <w:noProof/>
          <w:sz w:val="24"/>
          <w:szCs w:val="24"/>
        </w:rPr>
        <w:t xml:space="preserve">Belge verilen kurallardan sapma, </w:t>
      </w:r>
    </w:p>
    <w:p w:rsidR="004977E8" w:rsidP="004977E8">
      <w:pPr>
        <w:numPr>
          <w:ilvl w:val="0"/>
          <w:numId w:val="4"/>
        </w:numPr>
        <w:jc w:val="both"/>
        <w:rPr>
          <w:bCs/>
          <w:noProof/>
          <w:sz w:val="24"/>
          <w:szCs w:val="24"/>
        </w:rPr>
      </w:pPr>
      <w:r>
        <w:rPr>
          <w:bCs/>
          <w:noProof/>
          <w:sz w:val="24"/>
          <w:szCs w:val="24"/>
        </w:rPr>
        <w:t>Belgeli olmayan faaliyet alanlarda marka kullanımı,</w:t>
      </w:r>
    </w:p>
    <w:p w:rsidR="004977E8" w:rsidP="004977E8">
      <w:pPr>
        <w:numPr>
          <w:ilvl w:val="0"/>
          <w:numId w:val="4"/>
        </w:numPr>
        <w:jc w:val="both"/>
        <w:rPr>
          <w:bCs/>
          <w:noProof/>
          <w:sz w:val="24"/>
          <w:szCs w:val="24"/>
        </w:rPr>
      </w:pPr>
      <w:r>
        <w:rPr>
          <w:bCs/>
          <w:noProof/>
          <w:sz w:val="24"/>
          <w:szCs w:val="24"/>
        </w:rPr>
        <w:t>Marka kullanım kurallarına (Belgelendirme Yönergesi ve Müşteri Dostu Kuruluş (MDK) ile Müşteri Dostu Marka (MDM) Belgelendirme Usul ve Esasları, sözleşme ve bu talimat) aykırı hareket edilmesi</w:t>
      </w:r>
    </w:p>
    <w:p w:rsidR="004977E8" w:rsidP="004977E8">
      <w:pPr>
        <w:numPr>
          <w:ilvl w:val="0"/>
          <w:numId w:val="4"/>
        </w:numPr>
        <w:jc w:val="both"/>
        <w:rPr>
          <w:bCs/>
          <w:noProof/>
          <w:sz w:val="24"/>
          <w:szCs w:val="24"/>
        </w:rPr>
      </w:pPr>
      <w:r>
        <w:rPr>
          <w:bCs/>
          <w:noProof/>
          <w:sz w:val="24"/>
          <w:szCs w:val="24"/>
        </w:rPr>
        <w:t>Müşteri şikayetinin sonucunda yanlış marka kullanımının tespiti,</w:t>
      </w:r>
    </w:p>
    <w:p w:rsidR="004977E8" w:rsidP="004977E8">
      <w:pPr>
        <w:numPr>
          <w:ilvl w:val="0"/>
          <w:numId w:val="4"/>
        </w:numPr>
        <w:jc w:val="both"/>
        <w:rPr>
          <w:bCs/>
          <w:noProof/>
          <w:sz w:val="24"/>
          <w:szCs w:val="24"/>
        </w:rPr>
      </w:pPr>
      <w:r>
        <w:rPr>
          <w:bCs/>
          <w:noProof/>
          <w:sz w:val="24"/>
          <w:szCs w:val="24"/>
        </w:rPr>
        <w:t>Belgesi olmadığı halde marka kullanımı,</w:t>
      </w:r>
    </w:p>
    <w:p w:rsidR="004977E8" w:rsidP="004977E8">
      <w:pPr>
        <w:numPr>
          <w:ilvl w:val="0"/>
          <w:numId w:val="4"/>
        </w:numPr>
        <w:jc w:val="both"/>
        <w:rPr>
          <w:noProof/>
          <w:sz w:val="24"/>
          <w:szCs w:val="24"/>
        </w:rPr>
      </w:pPr>
      <w:r>
        <w:rPr>
          <w:bCs/>
          <w:noProof/>
          <w:sz w:val="24"/>
          <w:szCs w:val="24"/>
        </w:rPr>
        <w:t>Sözleşmenin fesih edilmesinin ardından marka kullanımına devam edilmesi,</w:t>
      </w:r>
    </w:p>
    <w:p w:rsidR="004977E8" w:rsidP="004977E8">
      <w:pPr>
        <w:numPr>
          <w:ilvl w:val="0"/>
          <w:numId w:val="4"/>
        </w:numPr>
        <w:jc w:val="both"/>
        <w:rPr>
          <w:noProof/>
          <w:sz w:val="24"/>
          <w:szCs w:val="24"/>
        </w:rPr>
      </w:pPr>
      <w:r>
        <w:rPr>
          <w:noProof/>
          <w:sz w:val="24"/>
          <w:szCs w:val="24"/>
        </w:rPr>
        <w:t>Diğer yanlış kullanım durumları.</w:t>
      </w:r>
    </w:p>
    <w:p w:rsidR="004977E8" w:rsidP="004977E8">
      <w:pPr>
        <w:tabs>
          <w:tab w:val="num" w:pos="0"/>
        </w:tabs>
        <w:jc w:val="both"/>
        <w:rPr>
          <w:noProof/>
          <w:sz w:val="24"/>
          <w:szCs w:val="24"/>
        </w:rPr>
      </w:pPr>
    </w:p>
    <w:p w:rsidR="004977E8" w:rsidP="004977E8">
      <w:pPr>
        <w:jc w:val="both"/>
        <w:rPr>
          <w:noProof/>
          <w:sz w:val="24"/>
          <w:szCs w:val="24"/>
        </w:rPr>
      </w:pPr>
      <w:r>
        <w:rPr>
          <w:noProof/>
          <w:sz w:val="24"/>
          <w:szCs w:val="24"/>
        </w:rPr>
        <w:t xml:space="preserve">Yukarıdaki yanlış kullanımlarla karşılaşılması durumunda kuruluşlardan ilgili Hizmet Belgelendirme </w:t>
      </w:r>
      <w:r>
        <w:rPr>
          <w:bCs/>
          <w:i/>
          <w:noProof/>
          <w:sz w:val="24"/>
          <w:szCs w:val="24"/>
        </w:rPr>
        <w:t xml:space="preserve">Birimi </w:t>
      </w:r>
      <w:r>
        <w:rPr>
          <w:noProof/>
          <w:sz w:val="24"/>
          <w:szCs w:val="24"/>
        </w:rPr>
        <w:t>düzeltici faaliyet ister. Bu faaliyet tipleri aşağıda belirtilmiştir;</w:t>
      </w:r>
    </w:p>
    <w:p w:rsidR="004977E8" w:rsidP="004977E8">
      <w:pPr>
        <w:tabs>
          <w:tab w:val="num" w:pos="0"/>
        </w:tabs>
        <w:jc w:val="both"/>
        <w:rPr>
          <w:noProof/>
          <w:sz w:val="24"/>
          <w:szCs w:val="24"/>
        </w:rPr>
      </w:pPr>
    </w:p>
    <w:p w:rsidR="004977E8" w:rsidP="004977E8">
      <w:pPr>
        <w:numPr>
          <w:ilvl w:val="0"/>
          <w:numId w:val="5"/>
        </w:numPr>
        <w:jc w:val="both"/>
        <w:rPr>
          <w:bCs/>
          <w:noProof/>
          <w:sz w:val="24"/>
          <w:szCs w:val="24"/>
        </w:rPr>
      </w:pPr>
      <w:r>
        <w:rPr>
          <w:bCs/>
          <w:noProof/>
          <w:sz w:val="24"/>
          <w:szCs w:val="24"/>
        </w:rPr>
        <w:t>Markayı düzelterek kullanmasını istemek,</w:t>
      </w:r>
    </w:p>
    <w:p w:rsidR="004977E8" w:rsidP="004977E8">
      <w:pPr>
        <w:numPr>
          <w:ilvl w:val="0"/>
          <w:numId w:val="5"/>
        </w:numPr>
        <w:jc w:val="both"/>
        <w:rPr>
          <w:noProof/>
          <w:sz w:val="24"/>
          <w:szCs w:val="24"/>
        </w:rPr>
      </w:pPr>
      <w:r>
        <w:rPr>
          <w:bCs/>
          <w:noProof/>
          <w:sz w:val="24"/>
          <w:szCs w:val="24"/>
        </w:rPr>
        <w:t>Belgeli olduğunu gösteren markayı içeren dokümanların imha edilmesi,</w:t>
      </w:r>
    </w:p>
    <w:p w:rsidR="004977E8" w:rsidP="004977E8">
      <w:pPr>
        <w:numPr>
          <w:ilvl w:val="0"/>
          <w:numId w:val="5"/>
        </w:numPr>
        <w:jc w:val="both"/>
        <w:rPr>
          <w:noProof/>
          <w:sz w:val="24"/>
          <w:szCs w:val="24"/>
        </w:rPr>
      </w:pPr>
      <w:r>
        <w:rPr>
          <w:noProof/>
          <w:sz w:val="24"/>
          <w:szCs w:val="24"/>
        </w:rPr>
        <w:t>Hukuki yollara başvurmak,</w:t>
      </w:r>
    </w:p>
    <w:p w:rsidR="004977E8" w:rsidP="004977E8">
      <w:pPr>
        <w:numPr>
          <w:ilvl w:val="0"/>
          <w:numId w:val="5"/>
        </w:numPr>
        <w:jc w:val="both"/>
        <w:rPr>
          <w:noProof/>
          <w:sz w:val="24"/>
          <w:szCs w:val="24"/>
        </w:rPr>
      </w:pPr>
      <w:r>
        <w:rPr>
          <w:noProof/>
          <w:sz w:val="24"/>
          <w:szCs w:val="24"/>
        </w:rPr>
        <w:t>Verilen hizmet hakkında duyuru yapmak,</w:t>
      </w:r>
    </w:p>
    <w:p w:rsidR="004977E8" w:rsidP="004977E8">
      <w:pPr>
        <w:numPr>
          <w:ilvl w:val="0"/>
          <w:numId w:val="5"/>
        </w:numPr>
        <w:jc w:val="both"/>
        <w:rPr>
          <w:noProof/>
          <w:sz w:val="24"/>
          <w:szCs w:val="24"/>
        </w:rPr>
      </w:pPr>
      <w:r>
        <w:rPr>
          <w:noProof/>
          <w:sz w:val="24"/>
          <w:szCs w:val="24"/>
        </w:rPr>
        <w:t>Müşterinin almış olduğu hizmetin doğru şekli yeniden verilmesi,</w:t>
      </w:r>
    </w:p>
    <w:p w:rsidR="004977E8" w:rsidP="004977E8">
      <w:pPr>
        <w:numPr>
          <w:ilvl w:val="0"/>
          <w:numId w:val="5"/>
        </w:numPr>
        <w:jc w:val="both"/>
        <w:rPr>
          <w:bCs/>
          <w:noProof/>
          <w:sz w:val="24"/>
          <w:szCs w:val="24"/>
        </w:rPr>
      </w:pPr>
      <w:r>
        <w:rPr>
          <w:bCs/>
          <w:noProof/>
          <w:sz w:val="24"/>
          <w:szCs w:val="24"/>
        </w:rPr>
        <w:t>Markayı kullanmamasını talep etmek,</w:t>
      </w:r>
    </w:p>
    <w:p w:rsidR="004977E8" w:rsidP="004977E8">
      <w:pPr>
        <w:numPr>
          <w:ilvl w:val="0"/>
          <w:numId w:val="5"/>
        </w:numPr>
        <w:jc w:val="both"/>
        <w:rPr>
          <w:noProof/>
          <w:sz w:val="24"/>
          <w:szCs w:val="24"/>
        </w:rPr>
      </w:pPr>
      <w:r>
        <w:rPr>
          <w:noProof/>
          <w:sz w:val="24"/>
          <w:szCs w:val="24"/>
        </w:rPr>
        <w:t>Verilen düzeltici faaliyetin reddedilmesi veya uygulanmaması durumunda Sözleşmeyi iptal etmek,</w:t>
      </w:r>
    </w:p>
    <w:p w:rsidR="004977E8" w:rsidP="004977E8">
      <w:pPr>
        <w:tabs>
          <w:tab w:val="num" w:pos="0"/>
        </w:tabs>
        <w:jc w:val="both"/>
        <w:rPr>
          <w:noProof/>
          <w:sz w:val="24"/>
          <w:szCs w:val="24"/>
        </w:rPr>
      </w:pPr>
    </w:p>
    <w:p w:rsidR="004977E8" w:rsidP="004977E8">
      <w:pPr>
        <w:jc w:val="both"/>
        <w:rPr>
          <w:bCs/>
          <w:noProof/>
          <w:sz w:val="24"/>
          <w:szCs w:val="24"/>
        </w:rPr>
      </w:pPr>
      <w:r>
        <w:rPr>
          <w:bCs/>
          <w:noProof/>
          <w:sz w:val="24"/>
          <w:szCs w:val="24"/>
        </w:rPr>
        <w:t>Belgeli kuruluşun marka kullanım kurallarına uyup uymadığı yapılan ara kontroller, çeşitli ortamların kontrolü ve müşteri şikayetleri ile izlenir.</w:t>
      </w:r>
    </w:p>
    <w:p w:rsidR="004977E8" w:rsidP="004977E8">
      <w:pPr>
        <w:tabs>
          <w:tab w:val="num" w:pos="0"/>
        </w:tabs>
        <w:jc w:val="both"/>
        <w:rPr>
          <w:noProof/>
          <w:sz w:val="24"/>
          <w:szCs w:val="24"/>
        </w:rPr>
      </w:pPr>
    </w:p>
    <w:p w:rsidR="004977E8" w:rsidP="004977E8">
      <w:pPr>
        <w:jc w:val="both"/>
        <w:rPr>
          <w:noProof/>
          <w:sz w:val="24"/>
          <w:szCs w:val="24"/>
        </w:rPr>
      </w:pPr>
      <w:r>
        <w:rPr>
          <w:noProof/>
          <w:sz w:val="24"/>
          <w:szCs w:val="24"/>
        </w:rPr>
        <w:t>Bu talimat ile belirtilen şartları yerine getirmeyen kuruluşlara belgenin askıya alınması veya fesh edilmesi işlemleri uygulanır.</w:t>
      </w:r>
    </w:p>
    <w:p w:rsidR="004977E8" w:rsidP="004977E8">
      <w:pPr>
        <w:tabs>
          <w:tab w:val="num" w:pos="0"/>
        </w:tabs>
        <w:jc w:val="both"/>
        <w:rPr>
          <w:noProof/>
          <w:sz w:val="24"/>
          <w:szCs w:val="24"/>
        </w:rPr>
      </w:pPr>
    </w:p>
    <w:p w:rsidR="004977E8" w:rsidP="004977E8">
      <w:pPr>
        <w:jc w:val="both"/>
        <w:rPr>
          <w:bCs/>
          <w:noProof/>
          <w:sz w:val="24"/>
          <w:szCs w:val="24"/>
        </w:rPr>
      </w:pPr>
      <w:r>
        <w:rPr>
          <w:bCs/>
          <w:noProof/>
          <w:sz w:val="24"/>
          <w:szCs w:val="24"/>
        </w:rPr>
        <w:t xml:space="preserve">Markalar yukarıda belirtilen şekilde, renkte ve çeşitli boyutlarda kullanılabilir. Ayrıca oranlar sabit kalmak şartıyla boyutlar küçültülüp, büyültülebilir. </w:t>
      </w:r>
    </w:p>
    <w:p w:rsidR="004977E8" w:rsidP="004977E8">
      <w:pPr>
        <w:jc w:val="both"/>
        <w:rPr>
          <w:bCs/>
          <w:noProof/>
          <w:sz w:val="24"/>
          <w:szCs w:val="24"/>
        </w:rPr>
      </w:pPr>
    </w:p>
    <w:p w:rsidR="004977E8" w:rsidP="004977E8">
      <w:pPr>
        <w:jc w:val="both"/>
        <w:rPr>
          <w:bCs/>
          <w:noProof/>
          <w:sz w:val="24"/>
          <w:szCs w:val="24"/>
        </w:rPr>
      </w:pPr>
      <w:r>
        <w:rPr>
          <w:bCs/>
          <w:noProof/>
          <w:sz w:val="24"/>
          <w:szCs w:val="24"/>
        </w:rPr>
        <w:t>Markaların farklı renkte kullanılmak istenmesi durumunda TSE’den onay alınması zorunludur.</w:t>
      </w:r>
    </w:p>
    <w:p w:rsidR="004977E8" w:rsidP="004977E8">
      <w:pPr>
        <w:tabs>
          <w:tab w:val="num" w:pos="0"/>
        </w:tabs>
        <w:jc w:val="both"/>
        <w:rPr>
          <w:noProof/>
          <w:sz w:val="24"/>
          <w:szCs w:val="24"/>
        </w:rPr>
      </w:pPr>
    </w:p>
    <w:p w:rsidR="004977E8" w:rsidP="004977E8">
      <w:pPr>
        <w:jc w:val="both"/>
        <w:rPr>
          <w:noProof/>
          <w:sz w:val="24"/>
          <w:szCs w:val="24"/>
        </w:rPr>
      </w:pPr>
      <w:r>
        <w:rPr>
          <w:noProof/>
          <w:sz w:val="24"/>
          <w:szCs w:val="24"/>
        </w:rPr>
        <w:t>TSE tarafından markada değişiklik yapılabilir. Bu durum belgeli kuruluşlara bildirilir ve kuruluşlara uyum için geçiş süresi verilir.</w:t>
      </w:r>
    </w:p>
    <w:p w:rsidR="004977E8" w:rsidP="004977E8">
      <w:pPr>
        <w:rPr>
          <w:noProof/>
          <w:sz w:val="24"/>
          <w:szCs w:val="24"/>
        </w:rPr>
      </w:pPr>
      <w:r>
        <w:rPr>
          <w:noProof/>
          <w:sz w:val="24"/>
          <w:szCs w:val="24"/>
        </w:rPr>
        <w:t xml:space="preserve">                                                       </w:t>
      </w:r>
    </w:p>
    <w:p w:rsidR="004977E8" w:rsidP="004977E8">
      <w:pPr>
        <w:tabs>
          <w:tab w:val="left" w:pos="900"/>
          <w:tab w:val="left" w:pos="2700"/>
          <w:tab w:val="left" w:pos="5400"/>
          <w:tab w:val="left" w:pos="9360"/>
        </w:tabs>
        <w:ind w:right="180"/>
        <w:jc w:val="both"/>
        <w:rPr>
          <w:b/>
          <w:noProof/>
          <w:sz w:val="24"/>
          <w:szCs w:val="24"/>
        </w:rPr>
      </w:pPr>
      <w:r>
        <w:rPr>
          <w:b/>
          <w:noProof/>
          <w:sz w:val="24"/>
          <w:szCs w:val="24"/>
        </w:rPr>
        <w:t>5. İLGİLİ DOKÜMANLAR</w:t>
      </w:r>
    </w:p>
    <w:p w:rsidR="004977E8" w:rsidP="004977E8">
      <w:pPr>
        <w:rPr>
          <w:noProof/>
          <w:sz w:val="24"/>
          <w:szCs w:val="24"/>
        </w:rPr>
      </w:pPr>
    </w:p>
    <w:p w:rsidR="004977E8" w:rsidP="004977E8">
      <w:pPr>
        <w:rPr>
          <w:bCs/>
          <w:noProof/>
          <w:szCs w:val="24"/>
        </w:rPr>
      </w:pPr>
      <w:r>
        <w:rPr>
          <w:bCs/>
          <w:noProof/>
          <w:szCs w:val="24"/>
        </w:rPr>
        <w:t xml:space="preserve">Belgelendirme Yönergesi </w:t>
      </w:r>
    </w:p>
    <w:p w:rsidR="004977E8" w:rsidP="004977E8">
      <w:pPr>
        <w:rPr>
          <w:noProof/>
          <w:szCs w:val="24"/>
        </w:rPr>
      </w:pPr>
      <w:r>
        <w:rPr>
          <w:noProof/>
          <w:sz w:val="24"/>
          <w:szCs w:val="24"/>
        </w:rPr>
        <w:t>Müşteri Dostu Kuruluş (MDK</w:t>
      </w:r>
      <w:r>
        <w:rPr>
          <w:bCs/>
          <w:noProof/>
          <w:szCs w:val="24"/>
        </w:rPr>
        <w:t xml:space="preserve">) </w:t>
      </w:r>
      <w:r>
        <w:rPr>
          <w:noProof/>
          <w:sz w:val="24"/>
          <w:szCs w:val="24"/>
        </w:rPr>
        <w:t xml:space="preserve">ile Müşteri Dostu Marka (MDM) </w:t>
      </w:r>
      <w:r>
        <w:rPr>
          <w:noProof/>
          <w:szCs w:val="24"/>
        </w:rPr>
        <w:t>Belgelendirme Usul ve Esasları</w:t>
      </w:r>
    </w:p>
    <w:p w:rsidR="004977E8" w:rsidP="004977E8">
      <w:pPr>
        <w:rPr>
          <w:noProof/>
          <w:szCs w:val="24"/>
        </w:rPr>
      </w:pPr>
      <w:r>
        <w:rPr>
          <w:noProof/>
          <w:szCs w:val="24"/>
        </w:rPr>
        <w:t>Sözleşme</w:t>
      </w:r>
    </w:p>
    <w:p w:rsidR="004977E8" w:rsidP="004977E8">
      <w:pPr>
        <w:rPr>
          <w:noProof/>
          <w:sz w:val="24"/>
          <w:szCs w:val="24"/>
        </w:rPr>
      </w:pPr>
      <w:r>
        <w:rPr>
          <w:noProof/>
          <w:szCs w:val="24"/>
        </w:rPr>
        <w:t>Başvuru formu</w:t>
      </w:r>
    </w:p>
    <w:p w:rsidR="00582A12" w:rsidRPr="008E5365" w:rsidP="008E5365"/>
    <w:sectPr w:rsidSect="0023691D">
      <w:headerReference w:type="default" r:id="rId8"/>
      <w:pgSz w:w="11907" w:h="16839"/>
      <w:pgMar w:top="1843" w:right="567" w:bottom="1276"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5556"/>
      <w:gridCol w:w="1158"/>
      <w:gridCol w:w="1087"/>
      <w:gridCol w:w="360"/>
      <w:gridCol w:w="567"/>
    </w:tblGrid>
    <w:tr w:rsidTr="00A020C9">
      <w:tblPrEx>
        <w:tblW w:w="10430" w:type="dxa"/>
        <w:tblInd w:w="108" w:type="dxa"/>
        <w:tblLayout w:type="fixed"/>
        <w:tblLook w:val="04A0"/>
      </w:tblPrEx>
      <w:trPr>
        <w:cantSplit/>
        <w:trHeight w:val="280"/>
      </w:trPr>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040096" w:rsidRPr="0007658A" w:rsidP="0007658A">
          <w:pPr>
            <w:pStyle w:val="Header"/>
            <w:ind w:left="34" w:right="-57" w:hanging="34"/>
            <w:jc w:val="center"/>
            <w:rPr>
              <w:b/>
              <w:sz w:val="16"/>
              <w:szCs w:val="16"/>
            </w:rPr>
          </w:pPr>
          <w:r>
            <w:rPr>
              <w:b/>
              <w:noProof/>
              <w:sz w:val="16"/>
              <w:szCs w:val="16"/>
            </w:rPr>
            <w:drawing>
              <wp:inline distT="0" distB="0" distL="0" distR="0">
                <wp:extent cx="952500" cy="523875"/>
                <wp:effectExtent l="0" t="0" r="0" b="9525"/>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63005" cy="529653"/>
                        </a:xfrm>
                        <a:prstGeom prst="rect">
                          <a:avLst/>
                        </a:prstGeom>
                        <a:noFill/>
                        <a:ln>
                          <a:noFill/>
                        </a:ln>
                      </pic:spPr>
                    </pic:pic>
                  </a:graphicData>
                </a:graphic>
              </wp:inline>
            </w:drawing>
          </w:r>
        </w:p>
      </w:tc>
      <w:tc>
        <w:tcPr>
          <w:tcW w:w="5556" w:type="dxa"/>
          <w:tcBorders>
            <w:top w:val="single" w:sz="4" w:space="0" w:color="auto"/>
            <w:left w:val="single" w:sz="4" w:space="0" w:color="auto"/>
            <w:bottom w:val="single" w:sz="4" w:space="0" w:color="auto"/>
            <w:right w:val="single" w:sz="4" w:space="0" w:color="auto"/>
          </w:tcBorders>
          <w:vAlign w:val="center"/>
          <w:hideMark/>
        </w:tcPr>
        <w:p w:rsidR="003C3AE0" w:rsidRPr="003C3AE0">
          <w:pPr>
            <w:pStyle w:val="Header"/>
            <w:ind w:left="-108" w:right="-108"/>
            <w:jc w:val="center"/>
            <w:rPr>
              <w:b/>
              <w:sz w:val="22"/>
              <w:szCs w:val="28"/>
            </w:rPr>
          </w:pPr>
          <w:r w:rsidRPr="003C3AE0">
            <w:rPr>
              <w:b/>
              <w:sz w:val="22"/>
              <w:szCs w:val="28"/>
            </w:rPr>
            <w:t>MUAYENE GÖZETİM</w:t>
          </w:r>
        </w:p>
        <w:p w:rsidR="00040096">
          <w:pPr>
            <w:pStyle w:val="Header"/>
            <w:ind w:left="-108" w:right="-108"/>
            <w:jc w:val="center"/>
            <w:rPr>
              <w:sz w:val="28"/>
              <w:szCs w:val="28"/>
            </w:rPr>
          </w:pPr>
          <w:r w:rsidRPr="003C3AE0">
            <w:rPr>
              <w:b/>
              <w:sz w:val="22"/>
              <w:szCs w:val="28"/>
            </w:rPr>
            <w:t>MERKEZİ BAŞKANLIĞI</w:t>
          </w:r>
        </w:p>
      </w:tc>
      <w:tc>
        <w:tcPr>
          <w:tcW w:w="1158" w:type="dxa"/>
          <w:tcBorders>
            <w:top w:val="single" w:sz="4" w:space="0" w:color="auto"/>
            <w:left w:val="single" w:sz="4" w:space="0" w:color="auto"/>
            <w:bottom w:val="single" w:sz="4" w:space="0" w:color="auto"/>
            <w:right w:val="single" w:sz="4" w:space="0" w:color="auto"/>
          </w:tcBorders>
          <w:vAlign w:val="center"/>
          <w:hideMark/>
        </w:tcPr>
        <w:p w:rsidR="00040096">
          <w:pPr>
            <w:pStyle w:val="Header"/>
            <w:ind w:left="-66" w:right="-108"/>
            <w:rPr>
              <w:b/>
              <w:sz w:val="18"/>
              <w:szCs w:val="18"/>
            </w:rPr>
          </w:pPr>
          <w:r>
            <w:rPr>
              <w:b/>
              <w:sz w:val="18"/>
              <w:szCs w:val="18"/>
            </w:rPr>
            <w:t>Doküman No</w:t>
          </w:r>
        </w:p>
      </w:tc>
      <w:tc>
        <w:tcPr>
          <w:tcW w:w="2014" w:type="dxa"/>
          <w:gridSpan w:val="3"/>
          <w:tcBorders>
            <w:top w:val="single" w:sz="4" w:space="0" w:color="auto"/>
            <w:left w:val="single" w:sz="4" w:space="0" w:color="auto"/>
            <w:bottom w:val="single" w:sz="4" w:space="0" w:color="auto"/>
            <w:right w:val="single" w:sz="4" w:space="0" w:color="auto"/>
          </w:tcBorders>
          <w:vAlign w:val="center"/>
          <w:hideMark/>
        </w:tcPr>
        <w:p w:rsidR="00040096" w:rsidP="00F630AE">
          <w:pPr>
            <w:pStyle w:val="Header"/>
            <w:ind w:right="-108"/>
            <w:jc w:val="center"/>
          </w:pPr>
          <w:r w:rsidRPr="004945B3">
            <w:t>15.03.02.TL.02</w:t>
          </w:r>
        </w:p>
      </w:tc>
    </w:tr>
    <w:tr w:rsidTr="00A020C9">
      <w:tblPrEx>
        <w:tblW w:w="10430" w:type="dxa"/>
        <w:tblInd w:w="108" w:type="dxa"/>
        <w:tblLayout w:type="fixed"/>
        <w:tblLook w:val="04A0"/>
      </w:tblPrEx>
      <w:trPr>
        <w:cantSplit/>
        <w:trHeight w:val="344"/>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F630AE" w:rsidP="00F630AE">
          <w:pPr>
            <w:rPr>
              <w:b/>
              <w:sz w:val="24"/>
              <w:szCs w:val="24"/>
            </w:rPr>
          </w:pPr>
        </w:p>
      </w:tc>
      <w:tc>
        <w:tcPr>
          <w:tcW w:w="5556" w:type="dxa"/>
          <w:vMerge w:val="restart"/>
          <w:tcBorders>
            <w:top w:val="single" w:sz="4" w:space="0" w:color="auto"/>
            <w:left w:val="single" w:sz="4" w:space="0" w:color="auto"/>
            <w:bottom w:val="single" w:sz="4" w:space="0" w:color="auto"/>
            <w:right w:val="single" w:sz="4" w:space="0" w:color="auto"/>
          </w:tcBorders>
          <w:vAlign w:val="center"/>
          <w:hideMark/>
        </w:tcPr>
        <w:p w:rsidR="00F630AE" w:rsidP="00F630AE">
          <w:pPr>
            <w:pStyle w:val="Header"/>
            <w:ind w:left="-108" w:right="-108"/>
            <w:jc w:val="center"/>
            <w:rPr>
              <w:b/>
            </w:rPr>
          </w:pPr>
          <w:r w:rsidRPr="004945B3">
            <w:rPr>
              <w:b/>
            </w:rPr>
            <w:t>MÜŞTERİ DOSTU MARKA (MDM) VE MÜŞTERİ DOSTU KURULUŞ (MDK) MARKA KULLANMA TALİMATI</w:t>
          </w:r>
        </w:p>
      </w:tc>
      <w:tc>
        <w:tcPr>
          <w:tcW w:w="1158" w:type="dxa"/>
          <w:tcBorders>
            <w:top w:val="single" w:sz="4" w:space="0" w:color="auto"/>
            <w:left w:val="single" w:sz="4" w:space="0" w:color="auto"/>
            <w:bottom w:val="single" w:sz="4" w:space="0" w:color="auto"/>
            <w:right w:val="single" w:sz="4" w:space="0" w:color="auto"/>
          </w:tcBorders>
          <w:vAlign w:val="center"/>
          <w:hideMark/>
        </w:tcPr>
        <w:p w:rsidR="00F630AE" w:rsidP="00F630AE">
          <w:pPr>
            <w:pStyle w:val="Header"/>
            <w:ind w:left="-66" w:right="-108"/>
            <w:rPr>
              <w:b/>
              <w:sz w:val="18"/>
              <w:szCs w:val="18"/>
            </w:rPr>
          </w:pPr>
          <w:r>
            <w:rPr>
              <w:b/>
              <w:sz w:val="18"/>
              <w:szCs w:val="18"/>
            </w:rPr>
            <w:t>Yayın Tarihi</w:t>
          </w:r>
        </w:p>
      </w:tc>
      <w:tc>
        <w:tcPr>
          <w:tcW w:w="2014" w:type="dxa"/>
          <w:gridSpan w:val="3"/>
          <w:tcBorders>
            <w:top w:val="single" w:sz="4" w:space="0" w:color="auto"/>
            <w:left w:val="single" w:sz="4" w:space="0" w:color="auto"/>
            <w:bottom w:val="single" w:sz="4" w:space="0" w:color="auto"/>
            <w:right w:val="single" w:sz="4" w:space="0" w:color="auto"/>
          </w:tcBorders>
          <w:vAlign w:val="center"/>
          <w:hideMark/>
        </w:tcPr>
        <w:p w:rsidR="00F630AE" w:rsidP="00F630AE">
          <w:pPr>
            <w:pStyle w:val="Header"/>
            <w:ind w:left="-31" w:right="-108"/>
            <w:jc w:val="center"/>
            <w:rPr>
              <w:sz w:val="18"/>
              <w:szCs w:val="18"/>
            </w:rPr>
          </w:pPr>
          <w:r>
            <w:t>18.03.2015</w:t>
          </w:r>
        </w:p>
      </w:tc>
    </w:tr>
    <w:tr w:rsidTr="00A020C9">
      <w:tblPrEx>
        <w:tblW w:w="10430" w:type="dxa"/>
        <w:tblInd w:w="108" w:type="dxa"/>
        <w:tblLayout w:type="fixed"/>
        <w:tblLook w:val="04A0"/>
      </w:tblPrEx>
      <w:trPr>
        <w:cantSplit/>
        <w:trHeight w:val="252"/>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F630AE" w:rsidP="00F630AE">
          <w:pPr>
            <w:rPr>
              <w:b/>
              <w:sz w:val="24"/>
              <w:szCs w:val="24"/>
            </w:rPr>
          </w:pPr>
        </w:p>
      </w:tc>
      <w:tc>
        <w:tcPr>
          <w:tcW w:w="5556" w:type="dxa"/>
          <w:vMerge/>
          <w:tcBorders>
            <w:top w:val="single" w:sz="4" w:space="0" w:color="auto"/>
            <w:left w:val="single" w:sz="4" w:space="0" w:color="auto"/>
            <w:bottom w:val="single" w:sz="4" w:space="0" w:color="auto"/>
            <w:right w:val="single" w:sz="4" w:space="0" w:color="auto"/>
          </w:tcBorders>
          <w:vAlign w:val="center"/>
          <w:hideMark/>
        </w:tcPr>
        <w:p w:rsidR="00F630AE" w:rsidP="00F630AE">
          <w:pPr>
            <w:rPr>
              <w:b/>
            </w:rPr>
          </w:pPr>
        </w:p>
      </w:tc>
      <w:tc>
        <w:tcPr>
          <w:tcW w:w="1158" w:type="dxa"/>
          <w:tcBorders>
            <w:top w:val="single" w:sz="4" w:space="0" w:color="auto"/>
            <w:left w:val="single" w:sz="4" w:space="0" w:color="auto"/>
            <w:bottom w:val="single" w:sz="4" w:space="0" w:color="auto"/>
            <w:right w:val="single" w:sz="4" w:space="0" w:color="auto"/>
          </w:tcBorders>
          <w:vAlign w:val="center"/>
          <w:hideMark/>
        </w:tcPr>
        <w:p w:rsidR="00F630AE" w:rsidP="00F630AE">
          <w:pPr>
            <w:pStyle w:val="Header"/>
            <w:ind w:left="-66" w:right="-108"/>
            <w:rPr>
              <w:b/>
              <w:spacing w:val="-14"/>
              <w:sz w:val="18"/>
              <w:szCs w:val="18"/>
            </w:rPr>
          </w:pPr>
          <w:r>
            <w:rPr>
              <w:b/>
              <w:spacing w:val="-14"/>
              <w:sz w:val="18"/>
              <w:szCs w:val="18"/>
            </w:rPr>
            <w:t>Revizyon Tarihi</w:t>
          </w:r>
        </w:p>
      </w:tc>
      <w:tc>
        <w:tcPr>
          <w:tcW w:w="1087" w:type="dxa"/>
          <w:tcBorders>
            <w:top w:val="single" w:sz="4" w:space="0" w:color="auto"/>
            <w:left w:val="single" w:sz="4" w:space="0" w:color="auto"/>
            <w:bottom w:val="single" w:sz="4" w:space="0" w:color="auto"/>
            <w:right w:val="single" w:sz="4" w:space="0" w:color="auto"/>
          </w:tcBorders>
          <w:vAlign w:val="center"/>
          <w:hideMark/>
        </w:tcPr>
        <w:p w:rsidR="00F630AE" w:rsidP="00F630AE">
          <w:pPr>
            <w:pStyle w:val="Header"/>
            <w:rPr>
              <w:sz w:val="18"/>
              <w:szCs w:val="18"/>
            </w:rPr>
          </w:pPr>
          <w:r w:rsidRPr="00693938">
            <w:t>6.12.2016</w:t>
          </w:r>
        </w:p>
      </w:tc>
      <w:tc>
        <w:tcPr>
          <w:tcW w:w="360" w:type="dxa"/>
          <w:tcBorders>
            <w:top w:val="single" w:sz="4" w:space="0" w:color="auto"/>
            <w:left w:val="single" w:sz="4" w:space="0" w:color="auto"/>
            <w:bottom w:val="single" w:sz="4" w:space="0" w:color="auto"/>
            <w:right w:val="single" w:sz="4" w:space="0" w:color="auto"/>
          </w:tcBorders>
          <w:vAlign w:val="center"/>
          <w:hideMark/>
        </w:tcPr>
        <w:p w:rsidR="00F630AE" w:rsidP="00F630AE">
          <w:pPr>
            <w:pStyle w:val="Header"/>
            <w:ind w:left="-108" w:right="-108"/>
            <w:jc w:val="center"/>
            <w:rPr>
              <w:b/>
              <w:sz w:val="18"/>
              <w:szCs w:val="18"/>
            </w:rPr>
          </w:pPr>
          <w:r>
            <w:rPr>
              <w:b/>
              <w:sz w:val="18"/>
              <w:szCs w:val="18"/>
            </w:rPr>
            <w:t>No</w:t>
          </w:r>
        </w:p>
      </w:tc>
      <w:tc>
        <w:tcPr>
          <w:tcW w:w="567" w:type="dxa"/>
          <w:tcBorders>
            <w:top w:val="single" w:sz="4" w:space="0" w:color="auto"/>
            <w:left w:val="single" w:sz="4" w:space="0" w:color="auto"/>
            <w:bottom w:val="single" w:sz="4" w:space="0" w:color="auto"/>
            <w:right w:val="single" w:sz="4" w:space="0" w:color="auto"/>
          </w:tcBorders>
          <w:vAlign w:val="center"/>
          <w:hideMark/>
        </w:tcPr>
        <w:p w:rsidR="00F630AE" w:rsidP="00F630AE">
          <w:pPr>
            <w:pStyle w:val="Header"/>
            <w:ind w:right="-108"/>
            <w:jc w:val="center"/>
            <w:rPr>
              <w:sz w:val="18"/>
              <w:szCs w:val="18"/>
            </w:rPr>
          </w:pPr>
          <w:r w:rsidRPr="004945B3">
            <w:rPr>
              <w:sz w:val="18"/>
              <w:szCs w:val="18"/>
            </w:rPr>
            <w:t>1</w:t>
          </w:r>
        </w:p>
      </w:tc>
    </w:tr>
  </w:tbl>
  <w:p w:rsidR="004945B3" w:rsidP="000400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88C0DF1"/>
    <w:multiLevelType w:val="hybridMultilevel"/>
    <w:tmpl w:val="303E3548"/>
    <w:lvl w:ilvl="0">
      <w:start w:val="1"/>
      <w:numFmt w:val="lowerLetter"/>
      <w:lvlText w:val="%1)"/>
      <w:lvlJc w:val="left"/>
      <w:pPr>
        <w:tabs>
          <w:tab w:val="num" w:pos="420"/>
        </w:tabs>
        <w:ind w:left="4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0C244D"/>
    <w:multiLevelType w:val="hybridMultilevel"/>
    <w:tmpl w:val="68F05BB8"/>
    <w:lvl w:ilvl="0">
      <w:start w:val="1"/>
      <w:numFmt w:val="lowerLetter"/>
      <w:lvlText w:val="%1)"/>
      <w:lvlJc w:val="left"/>
      <w:pPr>
        <w:tabs>
          <w:tab w:val="num" w:pos="420"/>
        </w:tabs>
        <w:ind w:left="420" w:hanging="360"/>
      </w:pPr>
    </w:lvl>
    <w:lvl w:ilvl="1">
      <w:start w:val="1"/>
      <w:numFmt w:val="lowerLetter"/>
      <w:lvlText w:val="%2."/>
      <w:lvlJc w:val="left"/>
      <w:pPr>
        <w:tabs>
          <w:tab w:val="num" w:pos="1140"/>
        </w:tabs>
        <w:ind w:left="1140" w:hanging="360"/>
      </w:pPr>
    </w:lvl>
    <w:lvl w:ilvl="2">
      <w:start w:val="1"/>
      <w:numFmt w:val="lowerRoman"/>
      <w:lvlText w:val="%3."/>
      <w:lvlJc w:val="right"/>
      <w:pPr>
        <w:tabs>
          <w:tab w:val="num" w:pos="1860"/>
        </w:tabs>
        <w:ind w:left="1860" w:hanging="180"/>
      </w:pPr>
    </w:lvl>
    <w:lvl w:ilvl="3">
      <w:start w:val="1"/>
      <w:numFmt w:val="decimal"/>
      <w:lvlText w:val="%4."/>
      <w:lvlJc w:val="left"/>
      <w:pPr>
        <w:tabs>
          <w:tab w:val="num" w:pos="2580"/>
        </w:tabs>
        <w:ind w:left="2580" w:hanging="360"/>
      </w:pPr>
    </w:lvl>
    <w:lvl w:ilvl="4">
      <w:start w:val="1"/>
      <w:numFmt w:val="lowerLetter"/>
      <w:lvlText w:val="%5."/>
      <w:lvlJc w:val="left"/>
      <w:pPr>
        <w:tabs>
          <w:tab w:val="num" w:pos="3300"/>
        </w:tabs>
        <w:ind w:left="3300" w:hanging="360"/>
      </w:pPr>
    </w:lvl>
    <w:lvl w:ilvl="5">
      <w:start w:val="1"/>
      <w:numFmt w:val="lowerRoman"/>
      <w:lvlText w:val="%6."/>
      <w:lvlJc w:val="right"/>
      <w:pPr>
        <w:tabs>
          <w:tab w:val="num" w:pos="4020"/>
        </w:tabs>
        <w:ind w:left="4020" w:hanging="180"/>
      </w:pPr>
    </w:lvl>
    <w:lvl w:ilvl="6">
      <w:start w:val="1"/>
      <w:numFmt w:val="decimal"/>
      <w:lvlText w:val="%7."/>
      <w:lvlJc w:val="left"/>
      <w:pPr>
        <w:tabs>
          <w:tab w:val="num" w:pos="4740"/>
        </w:tabs>
        <w:ind w:left="4740" w:hanging="360"/>
      </w:pPr>
    </w:lvl>
    <w:lvl w:ilvl="7">
      <w:start w:val="1"/>
      <w:numFmt w:val="lowerLetter"/>
      <w:lvlText w:val="%8."/>
      <w:lvlJc w:val="left"/>
      <w:pPr>
        <w:tabs>
          <w:tab w:val="num" w:pos="5460"/>
        </w:tabs>
        <w:ind w:left="5460" w:hanging="360"/>
      </w:pPr>
    </w:lvl>
    <w:lvl w:ilvl="8">
      <w:start w:val="1"/>
      <w:numFmt w:val="lowerRoman"/>
      <w:lvlText w:val="%9."/>
      <w:lvlJc w:val="right"/>
      <w:pPr>
        <w:tabs>
          <w:tab w:val="num" w:pos="6180"/>
        </w:tabs>
        <w:ind w:left="6180" w:hanging="180"/>
      </w:pPr>
    </w:lvl>
  </w:abstractNum>
  <w:abstractNum w:abstractNumId="3" w15:restartNumberingAfterBreak="0">
    <w:nsid w:val="6E3663CE"/>
    <w:multiLevelType w:val="hybridMultilevel"/>
    <w:tmpl w:val="5B3A3C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442EDC"/>
    <w:multiLevelType w:val="hybridMultilevel"/>
    <w:tmpl w:val="DEF4DC5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FAA"/>
    <w:rsid w:val="00040096"/>
    <w:rsid w:val="0007658A"/>
    <w:rsid w:val="003C3AE0"/>
    <w:rsid w:val="004945B3"/>
    <w:rsid w:val="004977E8"/>
    <w:rsid w:val="00582A12"/>
    <w:rsid w:val="005E4AEE"/>
    <w:rsid w:val="00693938"/>
    <w:rsid w:val="008B39C5"/>
    <w:rsid w:val="008E5365"/>
    <w:rsid w:val="009454FD"/>
    <w:rsid w:val="00950653"/>
    <w:rsid w:val="00986FAA"/>
    <w:rsid w:val="00A020C9"/>
    <w:rsid w:val="00A85B0C"/>
    <w:rsid w:val="00B968E0"/>
    <w:rsid w:val="00BD7A58"/>
    <w:rsid w:val="00C5189D"/>
    <w:rsid w:val="00DA0A80"/>
    <w:rsid w:val="00DE3EF8"/>
    <w:rsid w:val="00F630A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FBC27494-D0DB-47AD-86F6-1CC0A492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paragraph" w:styleId="Heading7">
    <w:name w:val="heading 7"/>
    <w:basedOn w:val="Normal"/>
    <w:next w:val="Normal"/>
    <w:link w:val="Balk7Char"/>
    <w:semiHidden/>
    <w:unhideWhenUsed/>
    <w:qFormat/>
    <w:rsid w:val="00BC05D1"/>
    <w:pPr>
      <w:keepNext/>
      <w:jc w:val="center"/>
      <w:outlineLvl w:val="6"/>
    </w:pPr>
    <w:rPr>
      <w:sz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7Char">
    <w:name w:val="Başlık 7 Char"/>
    <w:basedOn w:val="DefaultParagraphFont"/>
    <w:link w:val="Heading7"/>
    <w:semiHidden/>
    <w:rsid w:val="00BC05D1"/>
    <w:rPr>
      <w:rFonts w:ascii="Times New Roman" w:eastAsia="Times New Roman" w:hAnsi="Times New Roman" w:cs="Times New Roman"/>
      <w:sz w:val="24"/>
      <w:szCs w:val="20"/>
      <w:lang w:val="fr-FR" w:eastAsia="tr-TR"/>
    </w:rPr>
  </w:style>
  <w:style w:type="character" w:styleId="Hyperlink">
    <w:name w:val="Hyperlink"/>
    <w:semiHidden/>
    <w:unhideWhenUsed/>
    <w:rsid w:val="00BC05D1"/>
    <w:rPr>
      <w:color w:val="0000FF"/>
      <w:u w:val="single"/>
    </w:rPr>
  </w:style>
  <w:style w:type="paragraph" w:customStyle="1" w:styleId="msobodytextindent">
    <w:name w:val="msobodytextindent"/>
    <w:basedOn w:val="Normal"/>
    <w:rsid w:val="00BC05D1"/>
    <w:pPr>
      <w:spacing w:after="120"/>
      <w:ind w:left="283"/>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header" Target="header1.xml" /><Relationship Id="rId9"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5.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783</Words>
  <Characters>4464</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Murat ÖNAL</cp:lastModifiedBy>
  <cp:revision>6</cp:revision>
  <dcterms:created xsi:type="dcterms:W3CDTF">2016-12-05T13:04:00Z</dcterms:created>
  <dcterms:modified xsi:type="dcterms:W3CDTF">2016-12-06T12:13:00Z</dcterms:modified>
</cp:coreProperties>
</file>