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8A37FF" w:rsidRPr="007E60A0" w:rsidP="007E60A0">
      <w:pPr>
        <w:autoSpaceDE w:val="0"/>
        <w:autoSpaceDN w:val="0"/>
        <w:adjustRightInd w:val="0"/>
        <w:jc w:val="center"/>
        <w:rPr>
          <w:rFonts w:eastAsiaTheme="minorHAnsi"/>
          <w:b/>
          <w:bCs/>
          <w:sz w:val="24"/>
          <w:szCs w:val="24"/>
          <w:lang w:eastAsia="en-US"/>
        </w:rPr>
      </w:pPr>
      <w:r w:rsidRPr="007E60A0">
        <w:rPr>
          <w:rFonts w:eastAsiaTheme="minorHAnsi"/>
          <w:b/>
          <w:bCs/>
          <w:sz w:val="24"/>
          <w:szCs w:val="24"/>
          <w:lang w:eastAsia="en-US"/>
        </w:rPr>
        <w:t>TAAHHÜTNAME ÖRNEĞİ</w:t>
      </w:r>
    </w:p>
    <w:p w:rsidR="008A37FF" w:rsidRPr="008A37FF" w:rsidP="008A37FF">
      <w:pPr>
        <w:autoSpaceDE w:val="0"/>
        <w:autoSpaceDN w:val="0"/>
        <w:adjustRightInd w:val="0"/>
        <w:jc w:val="both"/>
        <w:rPr>
          <w:rFonts w:eastAsiaTheme="minorHAnsi"/>
          <w:sz w:val="24"/>
          <w:szCs w:val="24"/>
          <w:lang w:eastAsia="en-US"/>
        </w:rPr>
      </w:pPr>
    </w:p>
    <w:p w:rsidR="008A37FF" w:rsidRPr="008A37FF" w:rsidP="008A37FF">
      <w:pPr>
        <w:autoSpaceDE w:val="0"/>
        <w:autoSpaceDN w:val="0"/>
        <w:adjustRightInd w:val="0"/>
        <w:jc w:val="both"/>
        <w:rPr>
          <w:rFonts w:eastAsiaTheme="minorHAnsi"/>
          <w:sz w:val="24"/>
          <w:szCs w:val="24"/>
          <w:lang w:eastAsia="en-US"/>
        </w:rPr>
      </w:pPr>
      <w:r w:rsidR="00697434">
        <w:rPr>
          <w:rFonts w:eastAsiaTheme="minorHAnsi"/>
          <w:sz w:val="24"/>
          <w:szCs w:val="24"/>
          <w:lang w:eastAsia="en-US"/>
        </w:rPr>
        <w:t xml:space="preserve">…….Gümrük Müdürlüğü’ndeki …………ve ………sayılı……………Beyanına ait ürünlerin Fatura Tarihi, Fatura </w:t>
      </w:r>
      <w:bookmarkStart w:id="0" w:name="_GoBack"/>
      <w:bookmarkEnd w:id="0"/>
      <w:r w:rsidRPr="008A37FF">
        <w:rPr>
          <w:rFonts w:eastAsiaTheme="minorHAnsi"/>
          <w:sz w:val="24"/>
          <w:szCs w:val="24"/>
          <w:lang w:eastAsia="en-US"/>
        </w:rPr>
        <w:t>No, G.T.İ.P. Ürün Adı, Marka, Sınıf, Tip, Tür, Model, Menşei, Adet bilgileri doğrultusunda tanımlamaları aşağıda verilmiş olup, bu bilgilerin doğruluğunu ve beyanname kapsamındaki ilgili ürünlerin daha önce Türk Standartları Enstitüsünce uygunluk değerlendirmesine tabi tutulmadığını, denetim esnasında alınarak firmamıza teslim edilen asıl numunelerin ilgili laboratuvara iletilmesi ve şahit numunelerin uygun koşullarda saklanmasına ilişkin bütün sorumluluğun tarafımıza ait olduğunu taahhüt ederiz.</w:t>
      </w:r>
    </w:p>
    <w:p w:rsidR="008A37FF" w:rsidRPr="008A37FF" w:rsidP="008A37FF">
      <w:pPr>
        <w:autoSpaceDE w:val="0"/>
        <w:autoSpaceDN w:val="0"/>
        <w:adjustRightInd w:val="0"/>
        <w:jc w:val="both"/>
        <w:rPr>
          <w:rFonts w:eastAsiaTheme="minorHAnsi"/>
          <w:sz w:val="24"/>
          <w:szCs w:val="24"/>
          <w:lang w:eastAsia="en-US"/>
        </w:rPr>
      </w:pPr>
      <w:r w:rsidRPr="008A37FF">
        <w:rPr>
          <w:rFonts w:eastAsiaTheme="minorHAnsi"/>
          <w:sz w:val="24"/>
          <w:szCs w:val="24"/>
          <w:lang w:eastAsia="en-US"/>
        </w:rPr>
        <w:t>Yukarıda yazılı taahhüdümüz ve bu taahhüde konu yapmış olduğumuz ithalat işlemine ilişkin olarak düzenlemiş bulunduğumuz diğer evrakımızda yanlış ve eksik beyanda bulunulması ve/veya daha önce uygunluk değerlendirmesine tabi tutulduğunun tespiti halinde “22/02/2013 tarihli ve 28567 sayılı Resmi Gazete’de yayımlanan Teknik Düzenlemeler Rejimi Kararı’nın “Uygulanacak müeyyideler” başlıklı 14. Maddesi çerçevesinde diğer ilgili mevzuat hükümleri saklı kalmak kaydıyla;</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a) Yazılı uyarı,</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b) Yayımlanan mevzuatla tanınan muafiyetlerden süreli veya süresiz men,</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c) İthalatının veya ihracatın süreli veya süresiz durdurulması.</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d) Taahhütname alınan durumlarda, taahhütnamede belirtilen ürünün ihracat için FOB ve</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ithalat için CIF değerinin %60’ının, firmanın bağlı bulunduğu vergi dairesince ilgiliye tebliğ</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tarihindeki Türkiye Cumhuriyet Merkez Bankası döviz satış kuru üzerinden hesaplanacak TL</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karşılığının, 2/2/1984 tarihli ve 2976 sayılı Kanunun 3 üncü maddesi uyarınca, 6183 sayılı Amme</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Alacaklarının Tahsil Usulü Hakkında Kanun hükümleri çerçevesinde vergi dairesince tahsil</w:t>
      </w:r>
    </w:p>
    <w:p w:rsidR="008A37FF" w:rsidRPr="008A37FF" w:rsidP="008A37FF">
      <w:pPr>
        <w:autoSpaceDE w:val="0"/>
        <w:autoSpaceDN w:val="0"/>
        <w:adjustRightInd w:val="0"/>
        <w:jc w:val="both"/>
        <w:rPr>
          <w:rFonts w:eastAsiaTheme="minorHAnsi"/>
          <w:i/>
          <w:iCs/>
          <w:sz w:val="24"/>
          <w:szCs w:val="24"/>
          <w:lang w:eastAsia="en-US"/>
        </w:rPr>
      </w:pPr>
      <w:r w:rsidRPr="008A37FF">
        <w:rPr>
          <w:rFonts w:eastAsiaTheme="minorHAnsi"/>
          <w:i/>
          <w:iCs/>
          <w:sz w:val="24"/>
          <w:szCs w:val="24"/>
          <w:lang w:eastAsia="en-US"/>
        </w:rPr>
        <w:t>edilerek bütçeye gelir kaydedilmesi.</w:t>
      </w:r>
    </w:p>
    <w:p w:rsidR="008A37FF" w:rsidP="008A37FF">
      <w:pPr>
        <w:autoSpaceDE w:val="0"/>
        <w:autoSpaceDN w:val="0"/>
        <w:adjustRightInd w:val="0"/>
        <w:jc w:val="both"/>
        <w:rPr>
          <w:rFonts w:eastAsiaTheme="minorHAnsi"/>
          <w:sz w:val="24"/>
          <w:szCs w:val="24"/>
          <w:lang w:eastAsia="en-US"/>
        </w:rPr>
      </w:pPr>
    </w:p>
    <w:p w:rsidR="008A37FF" w:rsidP="008A37FF">
      <w:pPr>
        <w:autoSpaceDE w:val="0"/>
        <w:autoSpaceDN w:val="0"/>
        <w:adjustRightInd w:val="0"/>
        <w:jc w:val="both"/>
        <w:rPr>
          <w:rFonts w:eastAsiaTheme="minorHAnsi"/>
          <w:sz w:val="24"/>
          <w:szCs w:val="24"/>
          <w:lang w:eastAsia="en-US"/>
        </w:rPr>
      </w:pPr>
      <w:r w:rsidRPr="008A37FF">
        <w:rPr>
          <w:rFonts w:eastAsiaTheme="minorHAnsi"/>
          <w:sz w:val="24"/>
          <w:szCs w:val="24"/>
          <w:lang w:eastAsia="en-US"/>
        </w:rPr>
        <w:t>yaptırımlarından biri veya birkaçının tarafımıza uygulanması ve/veya gerekli görüldüğü takdirde 5607 Sayılı Kaçakçılıkla Mücadele Kanunu’na göre işlem yapılması için Türk Standardları Enstitüsü tarafından ilgili Bakanlığa resmi müracaata bulunulacağı ve/veya ilgili Cumhuriyet Savcılıklarına suç duyurusunda bulunulacağı tarafımıza tebliğ edilmiştir.</w:t>
      </w:r>
    </w:p>
    <w:p w:rsidR="008A37FF" w:rsidRPr="008A37FF" w:rsidP="008A37FF">
      <w:pPr>
        <w:autoSpaceDE w:val="0"/>
        <w:autoSpaceDN w:val="0"/>
        <w:adjustRightInd w:val="0"/>
        <w:jc w:val="both"/>
        <w:rPr>
          <w:rFonts w:eastAsiaTheme="minorHAnsi"/>
          <w:sz w:val="24"/>
          <w:szCs w:val="24"/>
          <w:lang w:eastAsia="en-US"/>
        </w:rPr>
      </w:pPr>
    </w:p>
    <w:p w:rsidR="008A37FF" w:rsidRPr="008A37FF" w:rsidP="008A37FF">
      <w:pPr>
        <w:autoSpaceDE w:val="0"/>
        <w:autoSpaceDN w:val="0"/>
        <w:adjustRightInd w:val="0"/>
        <w:jc w:val="both"/>
        <w:rPr>
          <w:rFonts w:eastAsiaTheme="minorHAnsi"/>
          <w:bCs/>
          <w:sz w:val="24"/>
          <w:szCs w:val="24"/>
          <w:lang w:eastAsia="en-US"/>
        </w:rPr>
      </w:pPr>
      <w:r w:rsidRPr="008A37FF">
        <w:rPr>
          <w:rFonts w:eastAsiaTheme="minorHAnsi"/>
          <w:bCs/>
          <w:sz w:val="24"/>
          <w:szCs w:val="24"/>
          <w:lang w:eastAsia="en-US"/>
        </w:rPr>
        <w:t>Firma Yetkilisi</w:t>
      </w:r>
    </w:p>
    <w:p w:rsidR="008A37FF" w:rsidRPr="008A37FF" w:rsidP="008A37FF">
      <w:pPr>
        <w:autoSpaceDE w:val="0"/>
        <w:autoSpaceDN w:val="0"/>
        <w:adjustRightInd w:val="0"/>
        <w:jc w:val="both"/>
        <w:rPr>
          <w:rFonts w:eastAsiaTheme="minorHAnsi"/>
          <w:bCs/>
          <w:sz w:val="24"/>
          <w:szCs w:val="24"/>
          <w:lang w:eastAsia="en-US"/>
        </w:rPr>
      </w:pPr>
      <w:r w:rsidRPr="008A37FF">
        <w:rPr>
          <w:rFonts w:eastAsiaTheme="minorHAnsi"/>
          <w:bCs/>
          <w:sz w:val="24"/>
          <w:szCs w:val="24"/>
          <w:lang w:eastAsia="en-US"/>
        </w:rPr>
        <w:t>Tarih</w:t>
      </w:r>
    </w:p>
    <w:p w:rsidR="008A37FF" w:rsidRPr="008A37FF" w:rsidP="008A37FF">
      <w:pPr>
        <w:autoSpaceDE w:val="0"/>
        <w:autoSpaceDN w:val="0"/>
        <w:adjustRightInd w:val="0"/>
        <w:jc w:val="both"/>
        <w:rPr>
          <w:rFonts w:eastAsiaTheme="minorHAnsi"/>
          <w:bCs/>
          <w:sz w:val="24"/>
          <w:szCs w:val="24"/>
          <w:lang w:eastAsia="en-US"/>
        </w:rPr>
      </w:pPr>
      <w:r>
        <w:rPr>
          <w:rFonts w:eastAsiaTheme="minorHAnsi"/>
          <w:bCs/>
          <w:sz w:val="24"/>
          <w:szCs w:val="24"/>
          <w:lang w:eastAsia="en-US"/>
        </w:rPr>
        <w:t>İmza</w:t>
      </w:r>
    </w:p>
    <w:p w:rsidR="008A37FF" w:rsidP="008A37FF">
      <w:pPr>
        <w:pStyle w:val="ListParagraph"/>
        <w:spacing w:after="5" w:line="267" w:lineRule="auto"/>
        <w:ind w:left="426" w:right="55" w:hanging="360"/>
        <w:jc w:val="both"/>
        <w:rPr>
          <w:rFonts w:eastAsiaTheme="minorHAnsi"/>
          <w:bCs/>
          <w:sz w:val="24"/>
          <w:szCs w:val="24"/>
          <w:lang w:eastAsia="en-US"/>
        </w:rPr>
      </w:pPr>
    </w:p>
    <w:p w:rsidR="00E12700" w:rsidRPr="008A37FF" w:rsidP="00B61CBD">
      <w:pPr>
        <w:spacing w:after="5" w:line="267" w:lineRule="auto"/>
        <w:ind w:right="55"/>
        <w:jc w:val="center"/>
        <w:rPr>
          <w:u w:val="single"/>
        </w:rPr>
      </w:pPr>
      <w:r w:rsidRPr="008A37FF">
        <w:rPr>
          <w:rFonts w:eastAsiaTheme="minorHAnsi"/>
          <w:bCs/>
          <w:sz w:val="24"/>
          <w:szCs w:val="24"/>
          <w:u w:val="single"/>
          <w:lang w:eastAsia="en-US"/>
        </w:rPr>
        <w:t>FATURA T. FATURA NO GTİP ÜRÜN ADI MARKA MODEL MENŞEİ MİKTAR KALEM F.</w:t>
      </w:r>
    </w:p>
    <w:sectPr w:rsidSect="0023691D">
      <w:footerReference w:type="default" r:id="rId4"/>
      <w:pgSz w:w="11907" w:h="16839"/>
      <w:pgMar w:top="1843" w:right="567" w:bottom="127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096" w:rsidP="00040096">
    <w:pPr>
      <w:pStyle w:val="Footer"/>
      <w:jc w:val="right"/>
      <w:rPr>
        <w:i/>
        <w:sz w:val="18"/>
      </w:rPr>
    </w:pPr>
  </w:p>
  <w:p w:rsidR="00920F82" w:rsidP="00920F82">
    <w:pPr>
      <w:pStyle w:val="Footer"/>
      <w:tabs>
        <w:tab w:val="center" w:pos="-1701"/>
        <w:tab w:val="clear" w:pos="4153"/>
        <w:tab w:val="clear" w:pos="8306"/>
        <w:tab w:val="left" w:pos="9072"/>
        <w:tab w:val="right" w:pos="13325"/>
      </w:tabs>
      <w:rPr>
        <w:i/>
        <w:sz w:val="16"/>
        <w:szCs w:val="16"/>
      </w:rPr>
    </w:pPr>
    <w:r w:rsidRPr="00920F82">
      <w:rPr>
        <w:i/>
        <w:sz w:val="16"/>
        <w:szCs w:val="16"/>
      </w:rPr>
      <w:t>İMB-01-FR-015</w:t>
    </w:r>
    <w:r w:rsidRPr="00920F82">
      <w:rPr>
        <w:i/>
        <w:sz w:val="16"/>
        <w:szCs w:val="16"/>
      </w:rPr>
      <w:t>/</w:t>
    </w:r>
    <w:r w:rsidRPr="00920F82">
      <w:rPr>
        <w:i/>
        <w:sz w:val="16"/>
        <w:szCs w:val="16"/>
      </w:rPr>
      <w:t>28.06.2019</w:t>
    </w:r>
    <w:r w:rsidRPr="00920F82">
      <w:rPr>
        <w:i/>
        <w:sz w:val="16"/>
        <w:szCs w:val="16"/>
      </w:rPr>
      <w:t>-</w:t>
    </w:r>
    <w:r w:rsidRPr="00920F82">
      <w:rPr>
        <w:i/>
        <w:sz w:val="16"/>
        <w:szCs w:val="16"/>
      </w:rPr>
      <w:t>0</w:t>
    </w:r>
  </w:p>
  <w:p w:rsidR="00040096" w:rsidP="00040096">
    <w:pPr>
      <w:pStyle w:val="Footer"/>
      <w:tabs>
        <w:tab w:val="center" w:pos="-1701"/>
        <w:tab w:val="clear" w:pos="4153"/>
        <w:tab w:val="clear" w:pos="8306"/>
        <w:tab w:val="left" w:pos="9072"/>
        <w:tab w:val="right" w:pos="13325"/>
      </w:tabs>
      <w:rPr>
        <w:rStyle w:val="PageNumber"/>
      </w:rPr>
    </w:pPr>
    <w:r>
      <w:rPr>
        <w:i/>
        <w:sz w:val="16"/>
        <w:szCs w:val="16"/>
      </w:rPr>
      <w:tab/>
    </w:r>
    <w:r w:rsidRPr="00934B7F">
      <w:rPr>
        <w:rStyle w:val="PageNumber"/>
        <w:b/>
        <w:noProof/>
      </w:rPr>
      <w:t xml:space="preserve">Sayfa </w:t>
    </w:r>
    <w:r w:rsidRPr="00934B7F">
      <w:rPr>
        <w:rStyle w:val="PageNumber"/>
        <w:b/>
        <w:noProof/>
      </w:rPr>
      <w:fldChar w:fldCharType="begin"/>
    </w:r>
    <w:r w:rsidRPr="00934B7F">
      <w:rPr>
        <w:rStyle w:val="PageNumber"/>
        <w:b/>
        <w:noProof/>
      </w:rPr>
      <w:instrText>PAGE  \* Arabic  \* MERGEFORMAT</w:instrText>
    </w:r>
    <w:r w:rsidRPr="00934B7F">
      <w:rPr>
        <w:rStyle w:val="PageNumber"/>
        <w:b/>
        <w:noProof/>
      </w:rPr>
      <w:fldChar w:fldCharType="separate"/>
    </w:r>
    <w:r w:rsidR="00697434">
      <w:rPr>
        <w:rStyle w:val="PageNumber"/>
        <w:b/>
        <w:noProof/>
      </w:rPr>
      <w:t>1</w:t>
    </w:r>
    <w:r w:rsidRPr="00934B7F">
      <w:rPr>
        <w:rStyle w:val="PageNumber"/>
        <w:b/>
        <w:noProof/>
      </w:rPr>
      <w:fldChar w:fldCharType="end"/>
    </w:r>
    <w:r w:rsidRPr="00934B7F">
      <w:rPr>
        <w:rStyle w:val="PageNumber"/>
        <w:b/>
        <w:noProof/>
      </w:rPr>
      <w:t xml:space="preserve"> / </w:t>
    </w:r>
    <w:r w:rsidRPr="00934B7F">
      <w:rPr>
        <w:rStyle w:val="PageNumber"/>
        <w:b/>
        <w:noProof/>
      </w:rPr>
      <w:fldChar w:fldCharType="begin"/>
    </w:r>
    <w:r w:rsidRPr="00934B7F">
      <w:rPr>
        <w:rStyle w:val="PageNumber"/>
        <w:b/>
        <w:noProof/>
      </w:rPr>
      <w:instrText>NUMPAGES  \* Arabic  \* MERGEFORMAT</w:instrText>
    </w:r>
    <w:r w:rsidRPr="00934B7F">
      <w:rPr>
        <w:rStyle w:val="PageNumber"/>
        <w:b/>
        <w:noProof/>
      </w:rPr>
      <w:fldChar w:fldCharType="separate"/>
    </w:r>
    <w:r w:rsidR="00697434">
      <w:rPr>
        <w:rStyle w:val="PageNumber"/>
        <w:b/>
        <w:noProof/>
      </w:rPr>
      <w:t>1</w:t>
    </w:r>
    <w:r w:rsidRPr="00934B7F">
      <w:rPr>
        <w:rStyle w:val="PageNumber"/>
        <w:b/>
        <w:noProof/>
      </w:rPr>
      <w:fldChar w:fldCharType="end"/>
    </w:r>
  </w:p>
  <w:p w:rsidR="00040096" w:rsidP="00040096">
    <w:pPr>
      <w:pStyle w:val="Footer"/>
      <w:rPr>
        <w:rStyle w:val="PageNumber"/>
        <w:sz w:val="10"/>
        <w:szCs w:val="10"/>
      </w:rPr>
    </w:pPr>
  </w:p>
  <w:p w:rsidR="00040096" w:rsidP="00040096">
    <w:pPr>
      <w:pStyle w:val="Footer"/>
      <w:jc w:val="center"/>
      <w:rPr>
        <w:b/>
        <w:i/>
        <w:color w:val="FF0000"/>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00"/>
    <w:rsid w:val="00040096"/>
    <w:rsid w:val="00697434"/>
    <w:rsid w:val="007E60A0"/>
    <w:rsid w:val="008A37FF"/>
    <w:rsid w:val="00920F82"/>
    <w:rsid w:val="00934B7F"/>
    <w:rsid w:val="00B20CA1"/>
    <w:rsid w:val="00B61CBD"/>
    <w:rsid w:val="00E0443E"/>
    <w:rsid w:val="00E1270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74B02AC"/>
  <w15:docId w15:val="{5A8631CA-D917-4CC9-BD68-89C7C94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basedOn w:val="DefaultParagraphFont"/>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basedOn w:val="DefaultParagraphFont"/>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DefaultParagraphFont"/>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basedOn w:val="DefaultParagraphFont"/>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paragraph" w:styleId="ListParagraph">
    <w:name w:val="List Paragraph"/>
    <w:basedOn w:val="Normal"/>
    <w:uiPriority w:val="34"/>
    <w:qFormat/>
    <w:rsid w:val="008A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Meriç GÜVENÇLİ</cp:lastModifiedBy>
  <cp:revision>8</cp:revision>
  <dcterms:created xsi:type="dcterms:W3CDTF">2013-11-21T14:35:00Z</dcterms:created>
  <dcterms:modified xsi:type="dcterms:W3CDTF">2019-06-27T13:22:00Z</dcterms:modified>
</cp:coreProperties>
</file>